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hAnsi="宋体" w:eastAsia="黑体"/>
          <w:sz w:val="32"/>
          <w:szCs w:val="32"/>
        </w:rPr>
      </w:pPr>
      <w:r>
        <w:rPr>
          <w:rFonts w:hint="eastAsia" w:ascii="黑体" w:hAnsi="宋体" w:eastAsia="黑体"/>
          <w:sz w:val="32"/>
          <w:szCs w:val="32"/>
        </w:rPr>
        <w:t>深圳市市场监督管理局龙岗局</w:t>
      </w:r>
    </w:p>
    <w:p>
      <w:pPr>
        <w:spacing w:line="360" w:lineRule="exact"/>
        <w:jc w:val="center"/>
        <w:rPr>
          <w:rFonts w:ascii="黑体" w:hAnsi="宋体" w:eastAsia="黑体"/>
          <w:sz w:val="32"/>
          <w:szCs w:val="32"/>
        </w:rPr>
      </w:pPr>
      <w:r>
        <w:rPr>
          <w:rFonts w:hint="eastAsia" w:ascii="黑体" w:hAnsi="宋体" w:eastAsia="黑体"/>
          <w:sz w:val="32"/>
          <w:szCs w:val="32"/>
        </w:rPr>
        <w:t>202</w:t>
      </w:r>
      <w:r>
        <w:rPr>
          <w:rFonts w:ascii="黑体" w:hAnsi="宋体" w:eastAsia="黑体"/>
          <w:sz w:val="32"/>
          <w:szCs w:val="32"/>
        </w:rPr>
        <w:t>3</w:t>
      </w:r>
      <w:r>
        <w:rPr>
          <w:rFonts w:hint="eastAsia" w:ascii="黑体" w:hAnsi="宋体" w:eastAsia="黑体"/>
          <w:sz w:val="32"/>
          <w:szCs w:val="32"/>
        </w:rPr>
        <w:t>年龙岗区老旧电梯安全评估和更新改造大修技术服务</w:t>
      </w:r>
    </w:p>
    <w:p>
      <w:pPr>
        <w:pStyle w:val="9"/>
        <w:keepNext w:val="0"/>
        <w:keepLines w:val="0"/>
        <w:widowControl/>
        <w:suppressLineNumbers w:val="0"/>
        <w:spacing w:before="0" w:beforeAutospacing="0" w:after="0" w:afterAutospacing="0"/>
        <w:ind w:left="0" w:right="0" w:firstLine="0"/>
        <w:jc w:val="center"/>
        <w:rPr>
          <w:rFonts w:hint="eastAsia" w:ascii="黑体" w:hAnsi="宋体" w:eastAsia="黑体" w:cs="Times New Roman"/>
          <w:kern w:val="2"/>
          <w:sz w:val="32"/>
          <w:szCs w:val="32"/>
          <w:lang w:val="en-US" w:eastAsia="zh-CN" w:bidi="ar-SA"/>
        </w:rPr>
      </w:pPr>
      <w:r>
        <w:rPr>
          <w:rFonts w:hint="eastAsia" w:ascii="黑体" w:hAnsi="宋体" w:eastAsia="黑体" w:cs="Times New Roman"/>
          <w:kern w:val="2"/>
          <w:sz w:val="32"/>
          <w:szCs w:val="32"/>
          <w:lang w:val="en-US" w:eastAsia="zh-CN" w:bidi="ar-SA"/>
        </w:rPr>
        <w:t>工作项目需求（征求意见稿）</w:t>
      </w:r>
    </w:p>
    <w:p>
      <w:pPr>
        <w:spacing w:line="360" w:lineRule="exact"/>
        <w:jc w:val="center"/>
        <w:rPr>
          <w:rFonts w:ascii="黑体" w:hAnsi="宋体" w:eastAsia="黑体"/>
          <w:sz w:val="32"/>
          <w:szCs w:val="32"/>
        </w:rPr>
      </w:pPr>
    </w:p>
    <w:p>
      <w:pPr>
        <w:spacing w:line="360" w:lineRule="exact"/>
        <w:jc w:val="center"/>
        <w:rPr>
          <w:rFonts w:ascii="黑体" w:hAnsi="宋体" w:eastAsia="黑体"/>
          <w:sz w:val="32"/>
          <w:szCs w:val="32"/>
        </w:rPr>
      </w:pPr>
    </w:p>
    <w:tbl>
      <w:tblPr>
        <w:tblStyle w:val="11"/>
        <w:tblW w:w="9767"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574"/>
        <w:gridCol w:w="3446"/>
        <w:gridCol w:w="1432"/>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2"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3446"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2023</w:t>
            </w:r>
            <w:r>
              <w:rPr>
                <w:rFonts w:hint="eastAsia" w:asciiTheme="minorEastAsia" w:hAnsiTheme="minorEastAsia" w:eastAsiaTheme="minorEastAsia"/>
                <w:szCs w:val="21"/>
              </w:rPr>
              <w:t>年龙岗区老旧电梯安全评估和更新改造大修技术服务工作项目</w:t>
            </w:r>
          </w:p>
        </w:tc>
        <w:tc>
          <w:tcPr>
            <w:tcW w:w="1432"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采购类型</w:t>
            </w:r>
          </w:p>
        </w:tc>
        <w:tc>
          <w:tcPr>
            <w:tcW w:w="287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012"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采购人名称</w:t>
            </w:r>
          </w:p>
        </w:tc>
        <w:tc>
          <w:tcPr>
            <w:tcW w:w="3446"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深圳市市场监督管理局龙岗监管局</w:t>
            </w:r>
          </w:p>
        </w:tc>
        <w:tc>
          <w:tcPr>
            <w:tcW w:w="1432"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采购方式</w:t>
            </w:r>
          </w:p>
        </w:tc>
        <w:tc>
          <w:tcPr>
            <w:tcW w:w="287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公</w:t>
            </w:r>
            <w:r>
              <w:rPr>
                <w:rFonts w:asciiTheme="minorEastAsia" w:hAnsiTheme="minorEastAsia" w:eastAsiaTheme="minorEastAsia"/>
                <w:szCs w:val="21"/>
              </w:rPr>
              <w:t>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012" w:type="dxa"/>
            <w:gridSpan w:val="2"/>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财政预算限额（元）</w:t>
            </w:r>
          </w:p>
        </w:tc>
        <w:tc>
          <w:tcPr>
            <w:tcW w:w="3446" w:type="dxa"/>
            <w:vAlign w:val="center"/>
          </w:tcPr>
          <w:p>
            <w:pPr>
              <w:spacing w:line="360" w:lineRule="exact"/>
              <w:ind w:firstLine="1050" w:firstLineChars="500"/>
              <w:rPr>
                <w:rFonts w:asciiTheme="minorEastAsia" w:hAnsiTheme="minorEastAsia" w:eastAsiaTheme="minorEastAsia"/>
                <w:color w:val="auto"/>
                <w:szCs w:val="21"/>
              </w:rPr>
            </w:pPr>
            <w:r>
              <w:rPr>
                <w:rFonts w:asciiTheme="minorEastAsia" w:hAnsiTheme="minorEastAsia" w:eastAsiaTheme="minorEastAsia"/>
                <w:color w:val="auto"/>
                <w:szCs w:val="21"/>
              </w:rPr>
              <w:t>1278</w:t>
            </w:r>
            <w:r>
              <w:rPr>
                <w:rFonts w:hint="eastAsia" w:asciiTheme="minorEastAsia" w:hAnsiTheme="minorEastAsia" w:eastAsiaTheme="minorEastAsia"/>
                <w:color w:val="auto"/>
                <w:szCs w:val="21"/>
              </w:rPr>
              <w:t>000</w:t>
            </w:r>
          </w:p>
        </w:tc>
        <w:tc>
          <w:tcPr>
            <w:tcW w:w="1432"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资金来源</w:t>
            </w:r>
          </w:p>
        </w:tc>
        <w:tc>
          <w:tcPr>
            <w:tcW w:w="2877"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财政拨付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012" w:type="dxa"/>
            <w:gridSpan w:val="2"/>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项目背景</w:t>
            </w:r>
          </w:p>
        </w:tc>
        <w:tc>
          <w:tcPr>
            <w:tcW w:w="7755" w:type="dxa"/>
            <w:gridSpan w:val="3"/>
          </w:tcPr>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为推进龙岗区老旧电梯更新改造大修工作，根据《龙岗区老旧电梯更新改造大修实施细则》文件要求，现需委托一家专业机构负责老旧电梯安全评估及更新改造大修技术服务工作，拟对龙岗</w:t>
            </w:r>
            <w:r>
              <w:rPr>
                <w:rFonts w:hint="eastAsia" w:asciiTheme="minorEastAsia" w:hAnsiTheme="minorEastAsia" w:eastAsiaTheme="minorEastAsia"/>
                <w:szCs w:val="21"/>
                <w:lang w:val="en-US" w:eastAsia="zh-CN"/>
              </w:rPr>
              <w:t>不少于284台</w:t>
            </w:r>
            <w:r>
              <w:rPr>
                <w:rFonts w:hint="eastAsia" w:asciiTheme="minorEastAsia" w:hAnsiTheme="minorEastAsia" w:eastAsiaTheme="minorEastAsia"/>
                <w:szCs w:val="21"/>
              </w:rPr>
              <w:t>旧电梯开展安全评估、更新改造大修方案评审、项目验收工作。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438" w:type="dxa"/>
            <w:vAlign w:val="center"/>
          </w:tcPr>
          <w:p>
            <w:pPr>
              <w:spacing w:line="360" w:lineRule="exact"/>
              <w:jc w:val="center"/>
              <w:rPr>
                <w:rFonts w:asciiTheme="minorEastAsia" w:hAnsiTheme="minorEastAsia" w:eastAsiaTheme="minorEastAsia"/>
                <w:szCs w:val="21"/>
              </w:rPr>
            </w:pPr>
            <w:r>
              <w:rPr>
                <w:rFonts w:hint="eastAsia" w:cs="宋体" w:asciiTheme="minorEastAsia" w:hAnsiTheme="minorEastAsia" w:eastAsiaTheme="minorEastAsia"/>
                <w:kern w:val="0"/>
                <w:szCs w:val="21"/>
              </w:rPr>
              <w:t>投标人资质要求</w:t>
            </w:r>
          </w:p>
        </w:tc>
        <w:tc>
          <w:tcPr>
            <w:tcW w:w="9329" w:type="dxa"/>
            <w:gridSpan w:val="4"/>
            <w:vAlign w:val="center"/>
          </w:tcPr>
          <w:p>
            <w:pPr>
              <w:spacing w:line="520" w:lineRule="exact"/>
              <w:rPr>
                <w:rFonts w:asciiTheme="minorEastAsia" w:hAnsiTheme="minorEastAsia" w:eastAsiaTheme="minorEastAsia"/>
                <w:szCs w:val="21"/>
              </w:rPr>
            </w:pPr>
            <w:r>
              <w:rPr>
                <w:rFonts w:hint="eastAsia" w:asciiTheme="minorEastAsia" w:hAnsiTheme="minorEastAsia" w:eastAsiaTheme="minorEastAsia"/>
                <w:szCs w:val="21"/>
              </w:rPr>
              <w:t>1.供应商必须是在中华人民共和国境内注册登记的具有合法开展业务资格的企业法人、事业单位法人、社会团体法人（提供营业执照或法人登记证书扫描件）。</w:t>
            </w:r>
          </w:p>
          <w:p>
            <w:pPr>
              <w:spacing w:line="520" w:lineRule="exact"/>
              <w:rPr>
                <w:rFonts w:asciiTheme="minorEastAsia" w:hAnsiTheme="minorEastAsia" w:eastAsiaTheme="minorEastAsia"/>
                <w:szCs w:val="21"/>
              </w:rPr>
            </w:pP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.供应商具有国家特种设备安全监督管理部门核发的包含电梯监督检验项目的《特种设备检验检测机构核准证》（提供《特种设备检验检测机构核准证》扫描件）。</w:t>
            </w:r>
          </w:p>
          <w:p>
            <w:pPr>
              <w:spacing w:line="520" w:lineRule="exact"/>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 投标截止时间前，投标人未被列入失信被执行人、重大税收违法案件当事人名单、政府采购严重违法失信行为记录名单（采购代理机构将通过“信用中国”网站（www.creditchina.gov.cn）、中国政府采购网（www.ccgp.gov.cn）、深圳市政府采购监管网（zfcg.sz.gov.cn）、深圳信用网（www.szcredit.org.cn）渠道查询相关主体信用记录，相关信息以开标当日的查询结果为准。信用信息查询记录应当作为项目档案材料一并保存。</w:t>
            </w:r>
          </w:p>
          <w:p>
            <w:pPr>
              <w:spacing w:line="520" w:lineRule="exact"/>
              <w:rPr>
                <w:rFonts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8" w:type="dxa"/>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具体技术要求</w:t>
            </w:r>
          </w:p>
        </w:tc>
        <w:tc>
          <w:tcPr>
            <w:tcW w:w="9329" w:type="dxa"/>
            <w:gridSpan w:val="4"/>
          </w:tcPr>
          <w:p>
            <w:pPr>
              <w:pStyle w:val="28"/>
              <w:spacing w:before="60" w:after="84" w:line="360" w:lineRule="auto"/>
              <w:ind w:firstLine="422"/>
              <w:rPr>
                <w:rFonts w:ascii="黑体" w:hAnsi="黑体" w:eastAsia="黑体"/>
                <w:b/>
                <w:sz w:val="21"/>
                <w:szCs w:val="21"/>
              </w:rPr>
            </w:pPr>
            <w:r>
              <w:rPr>
                <w:rFonts w:hint="eastAsia" w:ascii="黑体" w:hAnsi="黑体" w:eastAsia="黑体"/>
                <w:b/>
                <w:sz w:val="21"/>
                <w:szCs w:val="21"/>
              </w:rPr>
              <w:t>一、项目任务</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包括开展老旧电梯安全评估、更新改造大修方案评审、更新改造大修项目验收工作。</w:t>
            </w:r>
          </w:p>
          <w:p>
            <w:pPr>
              <w:pStyle w:val="28"/>
              <w:spacing w:before="60" w:after="84" w:line="360" w:lineRule="auto"/>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（一）电梯安全评估</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1.现场安全评估</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中标单位依据《电梯安全评估规程》（SZDB/Z 117—2014）及安全评估原始记录的要求，听取使用单位对电梯使用情况的介绍，查阅使用单位提供的资料，对电梯设备进行安全评估工作，评估组应列出所评估电梯部件（部位）的风险要素，以及不满足本标准要求的主要项目，指出电梯系统、电梯使用管理及维保等应防范的重大风险因素，提出相应的安全措施及节能环保方面的改进建议，形成安全评估意见。现场评估时，鉴于评估和定期检验的处理原则不同，定期检验项目中已经包括的项目，评估时可以直接引用相关项目的检验结论。</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2.出具评估报告</w:t>
            </w:r>
            <w:r>
              <w:rPr>
                <w:rFonts w:hint="eastAsia" w:asciiTheme="minorEastAsia" w:hAnsiTheme="minorEastAsia" w:eastAsiaTheme="minorEastAsia"/>
                <w:sz w:val="21"/>
                <w:szCs w:val="21"/>
              </w:rPr>
              <w:tab/>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中标单位在完成现场安全评估工作后10个工作日内出具安全评估报告。安全评估报告中使用下列结论：</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①经安全评估，该电梯存在×××问题，进行整改的费用较高，无修理改造价值，建议该电梯拆除，更换新电梯。</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②经安全评估，该电梯存在×××问题，需要进行×××整改，建议进行改造。</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③经安全评估，该电梯×××部件存在×××问题，建议进行重大修理。</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④经安全评估，该电梯存在×××问题，建议加强使用管理和维护保养。</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⑤经安全评估，未发现存在本标准所列的风险要素。</w:t>
            </w:r>
          </w:p>
          <w:p>
            <w:pPr>
              <w:pStyle w:val="28"/>
              <w:spacing w:before="60" w:after="84" w:line="360" w:lineRule="auto"/>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（二）电梯更新改造大修方案评审</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1.中标单位负责受理电梯使用单位的老旧电梯更新改造大修方案评审申请，对使用单位所提交申请材料的完整性等进行初步审核。</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2.初步审核通过后，中标单位组织对使用单位的更新改造大修方案进行评审，对使用单位提出老旧电梯更新改造大修的具体方式进行确认。</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3.中标单位对老旧电梯更新改造大修方案中的技术部分进行评审，包括对老旧电梯原始资料的完整性、更新改造电梯型号的选择、相关技术参数和关键部件的符合性、电梯施工方案的合理性、施工单位资质及能力的评审。</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4.中标单位对老旧电梯更新改造大修方案中的费用合理</w:t>
            </w:r>
            <w:r>
              <w:rPr>
                <w:rFonts w:asciiTheme="minorEastAsia" w:hAnsiTheme="minorEastAsia" w:eastAsiaTheme="minorEastAsia"/>
                <w:sz w:val="21"/>
                <w:szCs w:val="21"/>
              </w:rPr>
              <w:t>性进行评价</w:t>
            </w:r>
            <w:r>
              <w:rPr>
                <w:rFonts w:hint="eastAsia" w:asciiTheme="minorEastAsia" w:hAnsiTheme="minorEastAsia" w:eastAsiaTheme="minorEastAsia"/>
                <w:sz w:val="21"/>
                <w:szCs w:val="21"/>
              </w:rPr>
              <w:t>。</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5.对更新改造大修实施方案上述内容评审合格后，中标单位必须在评审结束后10个工作日内出具评审报告和签字确认。评审不合格的出具书面意见发回使用单位整改后重新组织评审。</w:t>
            </w:r>
          </w:p>
          <w:p>
            <w:pPr>
              <w:pStyle w:val="28"/>
              <w:spacing w:before="60" w:after="84" w:line="360" w:lineRule="auto"/>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（三）配合采购方召开施工安全教育会议</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在更新改造大修施工开始前，配合采购方召集使用单位和施工单位召开施工安全教育会议。</w:t>
            </w:r>
          </w:p>
          <w:p>
            <w:pPr>
              <w:pStyle w:val="28"/>
              <w:spacing w:before="60" w:after="84" w:line="360" w:lineRule="auto"/>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（四）跟踪、监督更新改造过程</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按照采购方要求，对更新改造大修施工过程进行不少于2次的现场监督，督促施工单位严格按照相关法律法规、规范和施工方案的要求进行施工；督促施工单位在施工前按要求办理施工告知手续；督促施工单位按要求对拆除的电梯办理报废手续。</w:t>
            </w:r>
          </w:p>
          <w:p>
            <w:pPr>
              <w:pStyle w:val="28"/>
              <w:spacing w:before="60" w:after="84" w:line="360" w:lineRule="auto"/>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（五）更新改造大修项目验收</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 老旧电梯更新改造大修工程完毕后，中标单位受理电梯使用单位的老旧电梯更新改造大修项目验收申请，对使用单位所提交申请材料的完整性等进行初步审核；</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2.初步审核通过后，中标单位应在使用单位提出申请后认真组织专家进行项目验收。</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3.中标单位对更新改造大修工程实际更新改造大修方式的选择是否与经评审确认后的方案一致；实际更新改造大修内容和相关技术参数是否与经评审确认后的方案一致等进行审核。</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4.对更新改造大修工程上述内容验收合格后，中标单位必须在10个工作日内出具具有结论的验收报告并签字确认。项目验收不合格的，出具书面整改意见，发回使用单位整改后重新组织验收。</w:t>
            </w:r>
          </w:p>
          <w:p>
            <w:pPr>
              <w:pStyle w:val="28"/>
              <w:spacing w:before="60" w:after="84" w:line="360" w:lineRule="auto"/>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（六）工作人员派驻</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要求中标单位在本项目进行过程中，派驻1名工作人员（大专以上学历）至采购方处，主要负责项目的沟通、协调工作，并可根据工作实际随时调整，遇到紧急事件，可按照采购方要求进行应急处置和加班。该工作人员的工作时间严格按照采购方的规定，保证不迟到、不早退。</w:t>
            </w:r>
          </w:p>
          <w:p>
            <w:pPr>
              <w:pStyle w:val="28"/>
              <w:spacing w:before="60" w:after="84" w:line="360" w:lineRule="auto"/>
              <w:ind w:firstLine="422"/>
              <w:rPr>
                <w:rFonts w:ascii="黑体" w:hAnsi="黑体" w:eastAsia="黑体"/>
                <w:b/>
                <w:sz w:val="21"/>
                <w:szCs w:val="21"/>
              </w:rPr>
            </w:pPr>
            <w:r>
              <w:rPr>
                <w:rFonts w:hint="eastAsia" w:ascii="黑体" w:hAnsi="黑体" w:eastAsia="黑体"/>
                <w:b/>
                <w:sz w:val="21"/>
                <w:szCs w:val="21"/>
              </w:rPr>
              <w:t>二、技术要求</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1.严格按照电梯的相关法律法规和评估规则及管理办法的要求，对使用单位采取同一程序、标准和方法开展评估、评审、验收工作，保证评估、评审、验收的一致性和准确性。</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2.对评估、评审、验收工作中发现的缺陷不足应及时采取纠正措施，并及时向龙岗监管局提出改进建议。</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3.申请受理、安全评估与方案评审、项目验收各阶段应安排不同的工作人员。</w:t>
            </w:r>
          </w:p>
          <w:p>
            <w:pPr>
              <w:pStyle w:val="28"/>
              <w:spacing w:before="60" w:after="84" w:line="360" w:lineRule="auto"/>
              <w:ind w:firstLine="422"/>
              <w:rPr>
                <w:rFonts w:ascii="黑体" w:hAnsi="黑体" w:eastAsia="黑体"/>
                <w:b/>
                <w:sz w:val="21"/>
                <w:szCs w:val="21"/>
              </w:rPr>
            </w:pPr>
            <w:r>
              <w:rPr>
                <w:rFonts w:hint="eastAsia" w:ascii="黑体" w:hAnsi="黑体" w:eastAsia="黑体"/>
                <w:b/>
                <w:sz w:val="21"/>
                <w:szCs w:val="21"/>
              </w:rPr>
              <w:t>三、责任义务</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1.严格依据《深圳市推进住宅小区老旧电梯更新改造大修办法》《龙岗区老旧电梯更新改造大修实施细则》，并在委托权限范围内开展工作。</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2.不得自行对外公布评估、评审、验收工作结论性信息，不得将受委托事项再行委托其他单位实施。</w:t>
            </w:r>
          </w:p>
          <w:p>
            <w:pPr>
              <w:pStyle w:val="28"/>
              <w:spacing w:before="60" w:after="84" w:line="360" w:lineRule="auto"/>
              <w:ind w:firstLine="420"/>
              <w:rPr>
                <w:rFonts w:asciiTheme="minorEastAsia" w:hAnsiTheme="minorEastAsia" w:eastAsiaTheme="minorEastAsia"/>
                <w:sz w:val="21"/>
                <w:szCs w:val="21"/>
              </w:rPr>
            </w:pPr>
            <w:r>
              <w:rPr>
                <w:rFonts w:hint="eastAsia" w:asciiTheme="minorEastAsia" w:hAnsiTheme="minorEastAsia" w:eastAsiaTheme="minorEastAsia"/>
                <w:sz w:val="21"/>
                <w:szCs w:val="21"/>
              </w:rPr>
              <w:t>3.主动配合采购方提供进度报告、发布进度信息，自觉接受社会各界监督，协助采购方对相关举报投诉进行调查处理。</w:t>
            </w:r>
          </w:p>
          <w:p>
            <w:pPr>
              <w:spacing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4.出现违约行为的，采购方可单方面终止采购，2年内不予委托；出现违法违规行为的，依法追究中标单位和相关责任人的法律责任。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38" w:type="dxa"/>
          </w:tcPr>
          <w:p>
            <w:pPr>
              <w:spacing w:line="360" w:lineRule="exact"/>
              <w:jc w:val="center"/>
              <w:rPr>
                <w:rFonts w:cs="宋体" w:asciiTheme="minorEastAsia" w:hAnsiTheme="minorEastAsia" w:eastAsiaTheme="minorEastAsia"/>
                <w:kern w:val="0"/>
                <w:szCs w:val="21"/>
              </w:rPr>
            </w:pPr>
          </w:p>
          <w:p>
            <w:pPr>
              <w:spacing w:line="360" w:lineRule="exact"/>
              <w:jc w:val="center"/>
              <w:rPr>
                <w:rFonts w:cs="宋体" w:asciiTheme="minorEastAsia" w:hAnsiTheme="minorEastAsia" w:eastAsiaTheme="minorEastAsia"/>
                <w:kern w:val="0"/>
                <w:szCs w:val="21"/>
              </w:rPr>
            </w:pPr>
          </w:p>
          <w:p>
            <w:pPr>
              <w:spacing w:line="360" w:lineRule="exact"/>
              <w:jc w:val="center"/>
              <w:rPr>
                <w:rFonts w:cs="宋体" w:asciiTheme="minorEastAsia" w:hAnsiTheme="minorEastAsia" w:eastAsiaTheme="minorEastAsia"/>
                <w:kern w:val="0"/>
                <w:szCs w:val="21"/>
              </w:rPr>
            </w:pPr>
          </w:p>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商务需求</w:t>
            </w:r>
          </w:p>
        </w:tc>
        <w:tc>
          <w:tcPr>
            <w:tcW w:w="9329" w:type="dxa"/>
            <w:gridSpan w:val="4"/>
          </w:tcPr>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一、项目服务期限</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项目服务期限自合同签订之日起</w:t>
            </w:r>
            <w:r>
              <w:rPr>
                <w:rFonts w:hint="eastAsia" w:asciiTheme="minorEastAsia" w:hAnsiTheme="minorEastAsia" w:eastAsiaTheme="minorEastAsia"/>
                <w:szCs w:val="21"/>
                <w:lang w:eastAsia="zh-CN"/>
              </w:rPr>
              <w:t>至</w:t>
            </w:r>
            <w:r>
              <w:rPr>
                <w:rFonts w:hint="eastAsia" w:asciiTheme="minorEastAsia" w:hAnsiTheme="minorEastAsia" w:eastAsiaTheme="minorEastAsia"/>
                <w:szCs w:val="21"/>
                <w:lang w:val="en-US" w:eastAsia="zh-CN"/>
              </w:rPr>
              <w:t>2023年11月30日止。</w:t>
            </w:r>
            <w:r>
              <w:rPr>
                <w:rFonts w:hint="eastAsia" w:asciiTheme="minorEastAsia" w:hAnsiTheme="minorEastAsia" w:eastAsiaTheme="minorEastAsia"/>
                <w:szCs w:val="21"/>
              </w:rPr>
              <w:t>。</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二、服务工作要求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按上述技术要求。</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三、费用预算</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电梯</w:t>
            </w:r>
            <w:r>
              <w:rPr>
                <w:rFonts w:asciiTheme="minorEastAsia" w:hAnsiTheme="minorEastAsia" w:eastAsiaTheme="minorEastAsia"/>
                <w:szCs w:val="21"/>
              </w:rPr>
              <w:t>旧改技术服务：</w:t>
            </w:r>
            <w:r>
              <w:rPr>
                <w:rFonts w:hint="eastAsia" w:asciiTheme="minorEastAsia" w:hAnsiTheme="minorEastAsia" w:eastAsiaTheme="minorEastAsia"/>
                <w:szCs w:val="21"/>
              </w:rPr>
              <w:t>安全评估3000元/台，方案评审600元/台，项目验收900元/台，合计4500元/台。</w:t>
            </w:r>
          </w:p>
          <w:p>
            <w:pPr>
              <w:spacing w:line="360" w:lineRule="exact"/>
              <w:rPr>
                <w:rFonts w:asciiTheme="minorEastAsia" w:hAnsiTheme="minorEastAsia" w:eastAsiaTheme="minorEastAsia"/>
                <w:szCs w:val="21"/>
              </w:rPr>
            </w:pPr>
            <w:r>
              <w:rPr>
                <w:rFonts w:hint="eastAsia" w:asciiTheme="minorEastAsia" w:hAnsiTheme="minorEastAsia" w:eastAsiaTheme="minorEastAsia"/>
                <w:szCs w:val="21"/>
              </w:rPr>
              <w:t>四、费用结算</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本项目根据合同约定单价，按实际完成数量进行结算；服务费用分</w:t>
            </w:r>
            <w:r>
              <w:rPr>
                <w:rFonts w:hint="eastAsia" w:asciiTheme="minorEastAsia" w:hAnsiTheme="minorEastAsia" w:eastAsiaTheme="minorEastAsia"/>
                <w:szCs w:val="21"/>
                <w:lang w:eastAsia="zh-CN"/>
              </w:rPr>
              <w:t>两</w:t>
            </w:r>
            <w:r>
              <w:rPr>
                <w:rFonts w:hint="eastAsia" w:asciiTheme="minorEastAsia" w:hAnsiTheme="minorEastAsia" w:eastAsiaTheme="minorEastAsia"/>
                <w:szCs w:val="21"/>
              </w:rPr>
              <w:t>次结算，双方签订合同生效且乙方提供符合规定的发票后三十日内，甲方向乙方支付合同总额的</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0%；项目全部完成经甲方验收合格且乙方提供符合规定的发票后三十日内，甲方向乙方支付剩余实际费用。</w:t>
            </w:r>
          </w:p>
          <w:p>
            <w:pPr>
              <w:spacing w:line="360" w:lineRule="exact"/>
              <w:ind w:firstLine="420" w:firstLineChars="200"/>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38" w:type="dxa"/>
          </w:tcPr>
          <w:p>
            <w:pPr>
              <w:spacing w:line="360" w:lineRule="exact"/>
              <w:jc w:val="center"/>
              <w:rPr>
                <w:rFonts w:cs="宋体" w:asciiTheme="minorEastAsia" w:hAnsiTheme="minorEastAsia" w:eastAsiaTheme="minorEastAsia"/>
                <w:kern w:val="0"/>
                <w:szCs w:val="21"/>
              </w:rPr>
            </w:pPr>
          </w:p>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w:t>
            </w:r>
            <w:r>
              <w:rPr>
                <w:rFonts w:cs="宋体" w:asciiTheme="minorEastAsia" w:hAnsiTheme="minorEastAsia" w:eastAsiaTheme="minorEastAsia"/>
                <w:kern w:val="0"/>
                <w:szCs w:val="21"/>
              </w:rPr>
              <w:t>细则</w:t>
            </w:r>
            <w:r>
              <w:rPr>
                <w:rFonts w:hint="eastAsia" w:cs="宋体" w:asciiTheme="minorEastAsia" w:hAnsiTheme="minorEastAsia" w:eastAsiaTheme="minorEastAsia"/>
                <w:kern w:val="0"/>
                <w:szCs w:val="21"/>
              </w:rPr>
              <w:t xml:space="preserve"> </w:t>
            </w:r>
          </w:p>
        </w:tc>
        <w:tc>
          <w:tcPr>
            <w:tcW w:w="9329" w:type="dxa"/>
            <w:gridSpan w:val="4"/>
          </w:tcPr>
          <w:tbl>
            <w:tblPr>
              <w:tblStyle w:val="11"/>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680"/>
              <w:gridCol w:w="680"/>
              <w:gridCol w:w="1392"/>
              <w:gridCol w:w="1020"/>
              <w:gridCol w:w="53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Cs/>
                      <w:sz w:val="24"/>
                    </w:rPr>
                  </w:pPr>
                  <w:r>
                    <w:rPr>
                      <w:bCs/>
                    </w:rPr>
                    <w:t>序号</w:t>
                  </w:r>
                </w:p>
              </w:tc>
              <w:tc>
                <w:tcPr>
                  <w:tcW w:w="3092"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Cs/>
                      <w:sz w:val="24"/>
                    </w:rPr>
                  </w:pPr>
                  <w:r>
                    <w:rPr>
                      <w:bCs/>
                    </w:rPr>
                    <w:t>评分项</w:t>
                  </w:r>
                </w:p>
              </w:tc>
              <w:tc>
                <w:tcPr>
                  <w:tcW w:w="5300"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jc w:val="center"/>
                    <w:rPr>
                      <w:rFonts w:ascii="宋体" w:hAnsi="宋体" w:cs="宋体"/>
                      <w:bCs/>
                      <w:sz w:val="24"/>
                    </w:rPr>
                  </w:pPr>
                  <w:r>
                    <w:rPr>
                      <w:bCs/>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1</w:t>
                  </w:r>
                </w:p>
              </w:tc>
              <w:tc>
                <w:tcPr>
                  <w:tcW w:w="3092" w:type="dxa"/>
                  <w:gridSpan w:val="3"/>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价格</w:t>
                  </w:r>
                </w:p>
              </w:tc>
              <w:tc>
                <w:tcPr>
                  <w:tcW w:w="5300"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8392" w:type="dxa"/>
                  <w:gridSpan w:val="4"/>
                  <w:tcBorders>
                    <w:top w:val="single" w:color="000000" w:sz="8" w:space="0"/>
                    <w:left w:val="single" w:color="000000" w:sz="8" w:space="0"/>
                    <w:bottom w:val="single" w:color="000000" w:sz="8" w:space="0"/>
                    <w:right w:val="single" w:color="000000" w:sz="8" w:space="0"/>
                  </w:tcBorders>
                </w:tcPr>
                <w:p>
                  <w:pPr>
                    <w:wordWrap w:val="0"/>
                    <w:rPr>
                      <w:rFonts w:hint="eastAsia" w:ascii="宋体" w:hAnsi="宋体" w:eastAsia="宋体" w:cs="宋体"/>
                      <w:kern w:val="0"/>
                      <w:sz w:val="21"/>
                      <w:szCs w:val="21"/>
                    </w:rPr>
                  </w:pPr>
                  <w:r>
                    <w:rPr>
                      <w:rFonts w:hint="eastAsia" w:ascii="宋体" w:hAnsi="宋体" w:eastAsia="宋体" w:cs="宋体"/>
                      <w:kern w:val="0"/>
                      <w:sz w:val="21"/>
                      <w:szCs w:val="21"/>
                    </w:rPr>
                    <w:t>满足招标文件要求且投标价格最低的投标报价为评标基准价,其价格分为满分。其他投标人的价格分统一按照下列公式计算：投标报价得分=(评标基准价/投标报价)×权重</w:t>
                  </w:r>
                </w:p>
                <w:p>
                  <w:pPr>
                    <w:wordWrap w:val="0"/>
                    <w:rPr>
                      <w:rFonts w:hint="eastAsia" w:ascii="宋体" w:hAnsi="宋体" w:eastAsia="宋体" w:cs="宋体"/>
                      <w:kern w:val="0"/>
                      <w:sz w:val="21"/>
                      <w:szCs w:val="21"/>
                    </w:rPr>
                  </w:pPr>
                  <w:r>
                    <w:rPr>
                      <w:rFonts w:hint="eastAsia" w:ascii="宋体" w:hAnsi="宋体" w:cs="宋体"/>
                      <w:color w:val="auto"/>
                    </w:rPr>
                    <w:t>小型企业、微型企业、监狱企业、残疾人福利性单位提供符合优惠主体资格条件企业制造的货物，或承担服务或工程，对其所投产品的价格给予</w:t>
                  </w:r>
                  <w:r>
                    <w:rPr>
                      <w:rFonts w:hint="eastAsia" w:ascii="宋体" w:hAnsi="宋体" w:cs="宋体"/>
                      <w:color w:val="auto"/>
                      <w:lang w:val="en-US" w:eastAsia="zh-CN"/>
                    </w:rPr>
                    <w:t>10</w:t>
                  </w:r>
                  <w:r>
                    <w:rPr>
                      <w:rFonts w:hint="eastAsia" w:ascii="宋体" w:hAnsi="宋体" w:cs="宋体"/>
                      <w:color w:val="auto"/>
                    </w:rPr>
                    <w:t>%的扣除，用扣除后的价格参与评审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2</w:t>
                  </w:r>
                </w:p>
              </w:tc>
              <w:tc>
                <w:tcPr>
                  <w:tcW w:w="3092" w:type="dxa"/>
                  <w:gridSpan w:val="3"/>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bCs/>
                      <w:sz w:val="24"/>
                    </w:rPr>
                  </w:pPr>
                  <w:r>
                    <w:rPr>
                      <w:bCs/>
                    </w:rPr>
                    <w:t>技术服务部分</w:t>
                  </w:r>
                </w:p>
              </w:tc>
              <w:tc>
                <w:tcPr>
                  <w:tcW w:w="5300"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宋体" w:hAnsi="宋体" w:cs="宋体"/>
                      <w:bCs/>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1392"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评分因素</w:t>
                  </w:r>
                </w:p>
              </w:tc>
              <w:tc>
                <w:tcPr>
                  <w:tcW w:w="102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权重(%)</w:t>
                  </w:r>
                </w:p>
              </w:tc>
              <w:tc>
                <w:tcPr>
                  <w:tcW w:w="530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1</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管理制度及工作实施方案</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10</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 xml:space="preserve">一、评分内容： </w:t>
                  </w:r>
                </w:p>
                <w:p>
                  <w:pPr>
                    <w:wordWrap w:val="0"/>
                    <w:rPr>
                      <w:szCs w:val="21"/>
                    </w:rPr>
                  </w:pPr>
                  <w:r>
                    <w:rPr>
                      <w:szCs w:val="21"/>
                    </w:rPr>
                    <w:t xml:space="preserve">1.具有电梯检验检测质量管理制度和安全管理制度。 </w:t>
                  </w:r>
                </w:p>
                <w:p>
                  <w:pPr>
                    <w:wordWrap w:val="0"/>
                    <w:rPr>
                      <w:szCs w:val="21"/>
                    </w:rPr>
                  </w:pPr>
                  <w:r>
                    <w:rPr>
                      <w:szCs w:val="21"/>
                    </w:rPr>
                    <w:t>2.具有老旧电梯评估方案、更新改造大修评审及验收方案和评估人员培训方案、报告判定原则、结果报送要求、异议及后处理、工作纪律、应急预案、后续服务等相关内容。</w:t>
                  </w:r>
                </w:p>
                <w:p>
                  <w:pPr>
                    <w:wordWrap w:val="0"/>
                    <w:rPr>
                      <w:szCs w:val="21"/>
                    </w:rPr>
                  </w:pPr>
                  <w:r>
                    <w:rPr>
                      <w:szCs w:val="21"/>
                    </w:rPr>
                    <w:t xml:space="preserve">3.具有评估人员培训方案，具体内容应包括培训团队、培训计划、培训方式，人员资格把关及后续培训提升。 </w:t>
                  </w:r>
                </w:p>
                <w:p>
                  <w:pPr>
                    <w:wordWrap w:val="0"/>
                    <w:rPr>
                      <w:szCs w:val="21"/>
                    </w:rPr>
                  </w:pPr>
                  <w:r>
                    <w:rPr>
                      <w:szCs w:val="21"/>
                    </w:rPr>
                    <w:t>二、评分要求：</w:t>
                  </w:r>
                </w:p>
                <w:p>
                  <w:pPr>
                    <w:wordWrap w:val="0"/>
                    <w:rPr>
                      <w:szCs w:val="21"/>
                    </w:rPr>
                  </w:pPr>
                  <w:r>
                    <w:rPr>
                      <w:szCs w:val="21"/>
                    </w:rPr>
                    <w:t>管理制度及工作实施方案</w:t>
                  </w:r>
                  <w:r>
                    <w:rPr>
                      <w:rFonts w:hint="eastAsia"/>
                      <w:szCs w:val="21"/>
                      <w:lang w:val="en-US" w:eastAsia="zh-CN"/>
                    </w:rPr>
                    <w:t>满足上述3项内容得70分，满足上述2项内容得40分，满足上述1项内容得10分，在此基础上按以下要求进行加分：</w:t>
                  </w:r>
                  <w:r>
                    <w:rPr>
                      <w:szCs w:val="21"/>
                    </w:rPr>
                    <w:t xml:space="preserve"> </w:t>
                  </w:r>
                </w:p>
                <w:p>
                  <w:pPr>
                    <w:wordWrap w:val="0"/>
                    <w:rPr>
                      <w:szCs w:val="21"/>
                    </w:rPr>
                  </w:pPr>
                  <w:r>
                    <w:rPr>
                      <w:szCs w:val="21"/>
                    </w:rPr>
                    <w:t>1.优：管理制度健全、方案全面完善、充分满足客户的应用需求，</w:t>
                  </w:r>
                  <w:r>
                    <w:rPr>
                      <w:rFonts w:hint="eastAsia"/>
                      <w:szCs w:val="21"/>
                      <w:lang w:val="en-US" w:eastAsia="zh-CN"/>
                    </w:rPr>
                    <w:t>加3</w:t>
                  </w:r>
                  <w:r>
                    <w:rPr>
                      <w:szCs w:val="21"/>
                    </w:rPr>
                    <w:t xml:space="preserve">0分； </w:t>
                  </w:r>
                </w:p>
                <w:p>
                  <w:pPr>
                    <w:wordWrap w:val="0"/>
                    <w:rPr>
                      <w:szCs w:val="21"/>
                    </w:rPr>
                  </w:pPr>
                  <w:r>
                    <w:rPr>
                      <w:szCs w:val="21"/>
                    </w:rPr>
                    <w:t>2.良：管理制度比较健全、方案比较全面完善，比较满足客户的应用需求，</w:t>
                  </w:r>
                  <w:r>
                    <w:rPr>
                      <w:rFonts w:hint="eastAsia"/>
                      <w:szCs w:val="21"/>
                      <w:lang w:val="en-US" w:eastAsia="zh-CN"/>
                    </w:rPr>
                    <w:t>加2</w:t>
                  </w:r>
                  <w:r>
                    <w:rPr>
                      <w:szCs w:val="21"/>
                    </w:rPr>
                    <w:t xml:space="preserve">0分； </w:t>
                  </w:r>
                </w:p>
                <w:p>
                  <w:pPr>
                    <w:wordWrap w:val="0"/>
                    <w:rPr>
                      <w:szCs w:val="21"/>
                    </w:rPr>
                  </w:pPr>
                  <w:r>
                    <w:rPr>
                      <w:szCs w:val="21"/>
                    </w:rPr>
                    <w:t>3.中：管理制度相对健全、方案相对全面完善，相对满足客户的应用需求，</w:t>
                  </w:r>
                  <w:r>
                    <w:rPr>
                      <w:rFonts w:hint="eastAsia"/>
                      <w:szCs w:val="21"/>
                      <w:lang w:val="en-US" w:eastAsia="zh-CN"/>
                    </w:rPr>
                    <w:t>加1</w:t>
                  </w:r>
                  <w:r>
                    <w:rPr>
                      <w:szCs w:val="21"/>
                    </w:rPr>
                    <w:t xml:space="preserve">0分； </w:t>
                  </w:r>
                </w:p>
                <w:p>
                  <w:pPr>
                    <w:wordWrap w:val="0"/>
                    <w:rPr>
                      <w:rFonts w:ascii="宋体" w:hAnsi="宋体" w:cs="宋体"/>
                      <w:szCs w:val="21"/>
                    </w:rPr>
                  </w:pPr>
                  <w:r>
                    <w:rPr>
                      <w:szCs w:val="21"/>
                    </w:rPr>
                    <w:t>4.差：无管理制度、无方案或方案不满足客户的应用需求，不</w:t>
                  </w:r>
                  <w:r>
                    <w:rPr>
                      <w:rFonts w:hint="eastAsia"/>
                      <w:szCs w:val="21"/>
                      <w:lang w:val="en-US" w:eastAsia="zh-CN"/>
                    </w:rPr>
                    <w:t>加</w:t>
                  </w:r>
                  <w:r>
                    <w:rPr>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2</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项目重点难点分析、应对措施及相关的合理化建议</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10</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一、评分内容：</w:t>
                  </w:r>
                </w:p>
                <w:p>
                  <w:pPr>
                    <w:wordWrap w:val="0"/>
                    <w:rPr>
                      <w:szCs w:val="21"/>
                    </w:rPr>
                  </w:pPr>
                  <w:r>
                    <w:rPr>
                      <w:szCs w:val="21"/>
                    </w:rPr>
                    <w:t xml:space="preserve"> 1.投标文件包含开展本项目重点难点分析；</w:t>
                  </w:r>
                </w:p>
                <w:p>
                  <w:pPr>
                    <w:wordWrap w:val="0"/>
                    <w:rPr>
                      <w:szCs w:val="21"/>
                    </w:rPr>
                  </w:pPr>
                  <w:r>
                    <w:rPr>
                      <w:szCs w:val="21"/>
                    </w:rPr>
                    <w:t xml:space="preserve"> 2.投标文件包含开展对本项目重点难点应对措施及相关的合理化建议。 </w:t>
                  </w:r>
                </w:p>
                <w:p>
                  <w:pPr>
                    <w:wordWrap w:val="0"/>
                    <w:rPr>
                      <w:szCs w:val="21"/>
                    </w:rPr>
                  </w:pPr>
                  <w:r>
                    <w:rPr>
                      <w:szCs w:val="21"/>
                    </w:rPr>
                    <w:t xml:space="preserve">二、评分要求： </w:t>
                  </w:r>
                </w:p>
                <w:p>
                  <w:pPr>
                    <w:wordWrap w:val="0"/>
                    <w:rPr>
                      <w:szCs w:val="21"/>
                    </w:rPr>
                  </w:pPr>
                  <w:r>
                    <w:rPr>
                      <w:szCs w:val="21"/>
                    </w:rPr>
                    <w:t>项目重点难点分析、应对措施及相关的合理化建议</w:t>
                  </w:r>
                  <w:r>
                    <w:rPr>
                      <w:rFonts w:hint="eastAsia"/>
                      <w:szCs w:val="21"/>
                      <w:lang w:val="en-US" w:eastAsia="zh-CN"/>
                    </w:rPr>
                    <w:t>满足上述2项内容得70分，满足上述1项内容得40分，在此基础上按以下要求进行加分：</w:t>
                  </w:r>
                  <w:r>
                    <w:rPr>
                      <w:szCs w:val="21"/>
                    </w:rPr>
                    <w:t xml:space="preserve"> </w:t>
                  </w:r>
                </w:p>
                <w:p>
                  <w:pPr>
                    <w:wordWrap w:val="0"/>
                    <w:rPr>
                      <w:szCs w:val="21"/>
                    </w:rPr>
                  </w:pPr>
                  <w:r>
                    <w:rPr>
                      <w:szCs w:val="21"/>
                    </w:rPr>
                    <w:t>1.优：项目重点难点分析全面到位、应对措施和建议合理可行，</w:t>
                  </w:r>
                  <w:r>
                    <w:rPr>
                      <w:rFonts w:hint="eastAsia"/>
                      <w:szCs w:val="21"/>
                      <w:lang w:val="en-US" w:eastAsia="zh-CN"/>
                    </w:rPr>
                    <w:t>加3</w:t>
                  </w:r>
                  <w:r>
                    <w:rPr>
                      <w:szCs w:val="21"/>
                    </w:rPr>
                    <w:t>0分；</w:t>
                  </w:r>
                </w:p>
                <w:p>
                  <w:pPr>
                    <w:wordWrap w:val="0"/>
                    <w:rPr>
                      <w:szCs w:val="21"/>
                    </w:rPr>
                  </w:pPr>
                  <w:r>
                    <w:rPr>
                      <w:szCs w:val="21"/>
                    </w:rPr>
                    <w:t xml:space="preserve"> 2.良：项目重点难点分析比较全面到位、应对措施和建议比较合理可行，</w:t>
                  </w:r>
                  <w:r>
                    <w:rPr>
                      <w:rFonts w:hint="eastAsia"/>
                      <w:szCs w:val="21"/>
                      <w:lang w:val="en-US" w:eastAsia="zh-CN"/>
                    </w:rPr>
                    <w:t>加2</w:t>
                  </w:r>
                  <w:r>
                    <w:rPr>
                      <w:szCs w:val="21"/>
                    </w:rPr>
                    <w:t>0分；</w:t>
                  </w:r>
                </w:p>
                <w:p>
                  <w:pPr>
                    <w:wordWrap w:val="0"/>
                    <w:rPr>
                      <w:szCs w:val="21"/>
                    </w:rPr>
                  </w:pPr>
                  <w:r>
                    <w:rPr>
                      <w:szCs w:val="21"/>
                    </w:rPr>
                    <w:t xml:space="preserve"> 3.中：项目重点难点分析相对全面到位、应对措施和建议相对合理可行，</w:t>
                  </w:r>
                  <w:r>
                    <w:rPr>
                      <w:rFonts w:hint="eastAsia"/>
                      <w:szCs w:val="21"/>
                      <w:lang w:val="en-US" w:eastAsia="zh-CN"/>
                    </w:rPr>
                    <w:t>加1</w:t>
                  </w:r>
                  <w:r>
                    <w:rPr>
                      <w:szCs w:val="21"/>
                    </w:rPr>
                    <w:t>0分；</w:t>
                  </w:r>
                </w:p>
                <w:p>
                  <w:pPr>
                    <w:wordWrap w:val="0"/>
                    <w:rPr>
                      <w:rFonts w:ascii="宋体" w:hAnsi="宋体" w:cs="宋体"/>
                      <w:szCs w:val="21"/>
                    </w:rPr>
                  </w:pPr>
                  <w:r>
                    <w:rPr>
                      <w:szCs w:val="21"/>
                    </w:rPr>
                    <w:t xml:space="preserve"> 4.差：无项目重点难点分析或分析与项目无关、无应对措施和建议或措施和建议与项目无关，不</w:t>
                  </w:r>
                  <w:r>
                    <w:rPr>
                      <w:rFonts w:hint="eastAsia"/>
                      <w:szCs w:val="21"/>
                      <w:lang w:val="en-US" w:eastAsia="zh-CN"/>
                    </w:rPr>
                    <w:t>加</w:t>
                  </w:r>
                  <w:r>
                    <w:rPr>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3</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质量（完成时间、安全）保障措施及方案</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10</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 xml:space="preserve">一、评分内容： </w:t>
                  </w:r>
                </w:p>
                <w:p>
                  <w:pPr>
                    <w:wordWrap w:val="0"/>
                    <w:rPr>
                      <w:szCs w:val="21"/>
                    </w:rPr>
                  </w:pPr>
                  <w:r>
                    <w:rPr>
                      <w:szCs w:val="21"/>
                    </w:rPr>
                    <w:t>考察投标人</w:t>
                  </w:r>
                  <w:r>
                    <w:rPr>
                      <w:rFonts w:hint="eastAsia"/>
                      <w:szCs w:val="21"/>
                      <w:lang w:val="en-US" w:eastAsia="zh-CN"/>
                    </w:rPr>
                    <w:t>①</w:t>
                  </w:r>
                  <w:r>
                    <w:rPr>
                      <w:szCs w:val="21"/>
                    </w:rPr>
                    <w:t>完成本项目的时间、</w:t>
                  </w:r>
                  <w:r>
                    <w:rPr>
                      <w:rFonts w:hint="eastAsia"/>
                      <w:szCs w:val="21"/>
                      <w:lang w:val="en-US" w:eastAsia="zh-CN"/>
                    </w:rPr>
                    <w:t>②</w:t>
                  </w:r>
                  <w:r>
                    <w:rPr>
                      <w:szCs w:val="21"/>
                    </w:rPr>
                    <w:t xml:space="preserve">人员设备的安全保障措施等内容。 </w:t>
                  </w:r>
                </w:p>
                <w:p>
                  <w:pPr>
                    <w:wordWrap w:val="0"/>
                    <w:rPr>
                      <w:szCs w:val="21"/>
                    </w:rPr>
                  </w:pPr>
                  <w:r>
                    <w:rPr>
                      <w:szCs w:val="21"/>
                    </w:rPr>
                    <w:t>二、评分要求：</w:t>
                  </w:r>
                </w:p>
                <w:p>
                  <w:pPr>
                    <w:wordWrap w:val="0"/>
                    <w:rPr>
                      <w:szCs w:val="21"/>
                    </w:rPr>
                  </w:pPr>
                  <w:r>
                    <w:rPr>
                      <w:szCs w:val="21"/>
                    </w:rPr>
                    <w:t>质量（完成时间、安全）保障措施及方案</w:t>
                  </w:r>
                  <w:r>
                    <w:rPr>
                      <w:rFonts w:hint="eastAsia"/>
                      <w:szCs w:val="21"/>
                      <w:lang w:val="en-US" w:eastAsia="zh-CN"/>
                    </w:rPr>
                    <w:t>满足上述2项内容得70分，满足上述1项内容得40分，在此基础上按以下要求进行加分：</w:t>
                  </w:r>
                  <w:r>
                    <w:rPr>
                      <w:szCs w:val="21"/>
                    </w:rPr>
                    <w:t xml:space="preserve"> </w:t>
                  </w:r>
                </w:p>
                <w:p>
                  <w:pPr>
                    <w:wordWrap w:val="0"/>
                    <w:rPr>
                      <w:szCs w:val="21"/>
                    </w:rPr>
                  </w:pPr>
                  <w:r>
                    <w:rPr>
                      <w:szCs w:val="21"/>
                    </w:rPr>
                    <w:t>1.优：保障措施全面完善、科学可行，</w:t>
                  </w:r>
                  <w:r>
                    <w:rPr>
                      <w:rFonts w:hint="eastAsia"/>
                      <w:szCs w:val="21"/>
                      <w:lang w:val="en-US" w:eastAsia="zh-CN"/>
                    </w:rPr>
                    <w:t>加3</w:t>
                  </w:r>
                  <w:r>
                    <w:rPr>
                      <w:szCs w:val="21"/>
                    </w:rPr>
                    <w:t>0分；</w:t>
                  </w:r>
                </w:p>
                <w:p>
                  <w:pPr>
                    <w:wordWrap w:val="0"/>
                    <w:rPr>
                      <w:szCs w:val="21"/>
                    </w:rPr>
                  </w:pPr>
                  <w:r>
                    <w:rPr>
                      <w:szCs w:val="21"/>
                    </w:rPr>
                    <w:t>2.良：保障措施比较全面完善、科学可行，</w:t>
                  </w:r>
                  <w:r>
                    <w:rPr>
                      <w:rFonts w:hint="eastAsia"/>
                      <w:szCs w:val="21"/>
                      <w:lang w:val="en-US" w:eastAsia="zh-CN"/>
                    </w:rPr>
                    <w:t>加2</w:t>
                  </w:r>
                  <w:r>
                    <w:rPr>
                      <w:szCs w:val="21"/>
                    </w:rPr>
                    <w:t>0分；</w:t>
                  </w:r>
                </w:p>
                <w:p>
                  <w:pPr>
                    <w:wordWrap w:val="0"/>
                    <w:rPr>
                      <w:szCs w:val="21"/>
                    </w:rPr>
                  </w:pPr>
                  <w:r>
                    <w:rPr>
                      <w:szCs w:val="21"/>
                    </w:rPr>
                    <w:t>3.中：保障措施相对全面完善、科学可行，</w:t>
                  </w:r>
                  <w:r>
                    <w:rPr>
                      <w:rFonts w:hint="eastAsia"/>
                      <w:szCs w:val="21"/>
                      <w:lang w:val="en-US" w:eastAsia="zh-CN"/>
                    </w:rPr>
                    <w:t>加1</w:t>
                  </w:r>
                  <w:r>
                    <w:rPr>
                      <w:szCs w:val="21"/>
                    </w:rPr>
                    <w:t>0分；</w:t>
                  </w:r>
                </w:p>
                <w:p>
                  <w:pPr>
                    <w:wordWrap w:val="0"/>
                    <w:rPr>
                      <w:rFonts w:ascii="宋体" w:hAnsi="宋体" w:cs="宋体"/>
                      <w:szCs w:val="21"/>
                    </w:rPr>
                  </w:pPr>
                  <w:r>
                    <w:rPr>
                      <w:szCs w:val="21"/>
                    </w:rPr>
                    <w:t>4.差：无保障措施或保障措施与项目无关，不</w:t>
                  </w:r>
                  <w:r>
                    <w:rPr>
                      <w:rFonts w:hint="eastAsia"/>
                      <w:szCs w:val="21"/>
                      <w:lang w:val="en-US" w:eastAsia="zh-CN"/>
                    </w:rPr>
                    <w:t>加</w:t>
                  </w:r>
                  <w:r>
                    <w:rPr>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4</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项目完成（服务期满）后的服务承诺</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3</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一、 评分内容： 投标人在投标文件中对项目完成后能提供的各项售后服务进行承诺，承诺内容包括但不限于招标文件的相关要求。</w:t>
                  </w:r>
                </w:p>
                <w:p>
                  <w:pPr>
                    <w:wordWrap w:val="0"/>
                    <w:rPr>
                      <w:szCs w:val="21"/>
                    </w:rPr>
                  </w:pPr>
                  <w:r>
                    <w:rPr>
                      <w:szCs w:val="21"/>
                    </w:rPr>
                    <w:t>二、分档评分：</w:t>
                  </w:r>
                </w:p>
                <w:p>
                  <w:pPr>
                    <w:wordWrap w:val="0"/>
                    <w:rPr>
                      <w:szCs w:val="21"/>
                    </w:rPr>
                  </w:pPr>
                  <w:r>
                    <w:rPr>
                      <w:rFonts w:hint="eastAsia"/>
                      <w:szCs w:val="21"/>
                      <w:lang w:val="en-US" w:eastAsia="zh-CN"/>
                    </w:rPr>
                    <w:t>满足上述内容得70分，在此基础上按以下要求进行加分：</w:t>
                  </w:r>
                  <w:r>
                    <w:rPr>
                      <w:szCs w:val="21"/>
                    </w:rPr>
                    <w:t xml:space="preserve"> </w:t>
                  </w:r>
                </w:p>
                <w:p>
                  <w:pPr>
                    <w:wordWrap w:val="0"/>
                    <w:rPr>
                      <w:szCs w:val="21"/>
                    </w:rPr>
                  </w:pPr>
                  <w:r>
                    <w:rPr>
                      <w:szCs w:val="21"/>
                    </w:rPr>
                    <w:t>1.优：服务承诺内容详细具体，安排科学合理，满足采购需求，</w:t>
                  </w:r>
                  <w:r>
                    <w:rPr>
                      <w:rFonts w:hint="eastAsia"/>
                      <w:szCs w:val="21"/>
                      <w:lang w:val="en-US" w:eastAsia="zh-CN"/>
                    </w:rPr>
                    <w:t>加3</w:t>
                  </w:r>
                  <w:r>
                    <w:rPr>
                      <w:szCs w:val="21"/>
                    </w:rPr>
                    <w:t>0分；</w:t>
                  </w:r>
                </w:p>
                <w:p>
                  <w:pPr>
                    <w:wordWrap w:val="0"/>
                    <w:rPr>
                      <w:szCs w:val="21"/>
                    </w:rPr>
                  </w:pPr>
                  <w:r>
                    <w:rPr>
                      <w:szCs w:val="21"/>
                    </w:rPr>
                    <w:t>2.良：服务承诺内容比较详细具体，安排比较科学合理，比较满足采购需求，</w:t>
                  </w:r>
                  <w:r>
                    <w:rPr>
                      <w:rFonts w:hint="eastAsia"/>
                      <w:szCs w:val="21"/>
                      <w:lang w:val="en-US" w:eastAsia="zh-CN"/>
                    </w:rPr>
                    <w:t>加2</w:t>
                  </w:r>
                  <w:r>
                    <w:rPr>
                      <w:szCs w:val="21"/>
                    </w:rPr>
                    <w:t>0分；</w:t>
                  </w:r>
                </w:p>
                <w:p>
                  <w:pPr>
                    <w:wordWrap w:val="0"/>
                    <w:rPr>
                      <w:szCs w:val="21"/>
                    </w:rPr>
                  </w:pPr>
                  <w:r>
                    <w:rPr>
                      <w:szCs w:val="21"/>
                    </w:rPr>
                    <w:t>3.中：服务承诺内容基本详细具体，安排基本科学合理，基本满足采购需求，</w:t>
                  </w:r>
                  <w:r>
                    <w:rPr>
                      <w:rFonts w:hint="eastAsia"/>
                      <w:szCs w:val="21"/>
                      <w:lang w:val="en-US" w:eastAsia="zh-CN"/>
                    </w:rPr>
                    <w:t>加1</w:t>
                  </w:r>
                  <w:r>
                    <w:rPr>
                      <w:szCs w:val="21"/>
                    </w:rPr>
                    <w:t>0分；</w:t>
                  </w:r>
                </w:p>
                <w:p>
                  <w:pPr>
                    <w:wordWrap w:val="0"/>
                    <w:rPr>
                      <w:rFonts w:ascii="宋体" w:hAnsi="宋体" w:cs="宋体"/>
                      <w:szCs w:val="21"/>
                    </w:rPr>
                  </w:pPr>
                  <w:r>
                    <w:rPr>
                      <w:szCs w:val="21"/>
                    </w:rPr>
                    <w:t>4.差：无承诺或承诺内容不满足采购需求，不</w:t>
                  </w:r>
                  <w:r>
                    <w:rPr>
                      <w:rFonts w:hint="eastAsia"/>
                      <w:szCs w:val="21"/>
                      <w:lang w:val="en-US" w:eastAsia="zh-CN"/>
                    </w:rPr>
                    <w:t>加</w:t>
                  </w:r>
                  <w:r>
                    <w:rPr>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5</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违约承诺</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2</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一、 评分内容： 违约承诺内容应承诺遵守包括但不限于招标文件中的各项责任义务的要求，并应对违约行为的处理进行承诺。</w:t>
                  </w:r>
                </w:p>
                <w:p>
                  <w:pPr>
                    <w:wordWrap w:val="0"/>
                    <w:rPr>
                      <w:szCs w:val="21"/>
                    </w:rPr>
                  </w:pPr>
                  <w:r>
                    <w:rPr>
                      <w:szCs w:val="21"/>
                    </w:rPr>
                    <w:t xml:space="preserve"> 二、分档评分：</w:t>
                  </w:r>
                </w:p>
                <w:p>
                  <w:pPr>
                    <w:wordWrap w:val="0"/>
                    <w:rPr>
                      <w:szCs w:val="21"/>
                    </w:rPr>
                  </w:pPr>
                  <w:r>
                    <w:rPr>
                      <w:rFonts w:hint="eastAsia"/>
                      <w:szCs w:val="21"/>
                      <w:lang w:val="en-US" w:eastAsia="zh-CN"/>
                    </w:rPr>
                    <w:t>满足上述内容得70分，在此基础上按以下要求进行加分：</w:t>
                  </w:r>
                  <w:r>
                    <w:rPr>
                      <w:szCs w:val="21"/>
                    </w:rPr>
                    <w:t xml:space="preserve"> </w:t>
                  </w:r>
                </w:p>
                <w:p>
                  <w:pPr>
                    <w:wordWrap w:val="0"/>
                    <w:rPr>
                      <w:szCs w:val="21"/>
                    </w:rPr>
                  </w:pPr>
                  <w:r>
                    <w:rPr>
                      <w:szCs w:val="21"/>
                    </w:rPr>
                    <w:t>1.优：违约承诺内容详尽，符合招标文件要求，</w:t>
                  </w:r>
                  <w:r>
                    <w:rPr>
                      <w:rFonts w:hint="eastAsia"/>
                      <w:szCs w:val="21"/>
                      <w:lang w:val="en-US" w:eastAsia="zh-CN"/>
                    </w:rPr>
                    <w:t>加3</w:t>
                  </w:r>
                  <w:r>
                    <w:rPr>
                      <w:szCs w:val="21"/>
                    </w:rPr>
                    <w:t>0分；</w:t>
                  </w:r>
                </w:p>
                <w:p>
                  <w:pPr>
                    <w:wordWrap w:val="0"/>
                    <w:rPr>
                      <w:szCs w:val="21"/>
                    </w:rPr>
                  </w:pPr>
                  <w:r>
                    <w:rPr>
                      <w:szCs w:val="21"/>
                    </w:rPr>
                    <w:t>2.良：违约承诺内容比较详尽，比较符合招标文件要求，</w:t>
                  </w:r>
                  <w:r>
                    <w:rPr>
                      <w:rFonts w:hint="eastAsia"/>
                      <w:szCs w:val="21"/>
                      <w:lang w:val="en-US" w:eastAsia="zh-CN"/>
                    </w:rPr>
                    <w:t>加2</w:t>
                  </w:r>
                  <w:r>
                    <w:rPr>
                      <w:szCs w:val="21"/>
                    </w:rPr>
                    <w:t>0分；</w:t>
                  </w:r>
                </w:p>
                <w:p>
                  <w:pPr>
                    <w:wordWrap w:val="0"/>
                    <w:rPr>
                      <w:szCs w:val="21"/>
                    </w:rPr>
                  </w:pPr>
                  <w:r>
                    <w:rPr>
                      <w:szCs w:val="21"/>
                    </w:rPr>
                    <w:t>3.中：违约承诺内容基本详尽，基本符合招标文件要求，</w:t>
                  </w:r>
                  <w:r>
                    <w:rPr>
                      <w:rFonts w:hint="eastAsia"/>
                      <w:szCs w:val="21"/>
                      <w:lang w:val="en-US" w:eastAsia="zh-CN"/>
                    </w:rPr>
                    <w:t>加1</w:t>
                  </w:r>
                  <w:r>
                    <w:rPr>
                      <w:szCs w:val="21"/>
                    </w:rPr>
                    <w:t>0分；</w:t>
                  </w:r>
                </w:p>
                <w:p>
                  <w:pPr>
                    <w:wordWrap w:val="0"/>
                    <w:rPr>
                      <w:rFonts w:ascii="宋体" w:hAnsi="宋体" w:cs="宋体"/>
                      <w:szCs w:val="21"/>
                    </w:rPr>
                  </w:pPr>
                  <w:r>
                    <w:rPr>
                      <w:szCs w:val="21"/>
                    </w:rPr>
                    <w:t>4.差：无承诺或承诺内容不符合招标文件要求，不</w:t>
                  </w:r>
                  <w:r>
                    <w:rPr>
                      <w:rFonts w:hint="eastAsia"/>
                      <w:szCs w:val="21"/>
                      <w:lang w:val="en-US" w:eastAsia="zh-CN"/>
                    </w:rPr>
                    <w:t>加</w:t>
                  </w:r>
                  <w:r>
                    <w:rPr>
                      <w:szCs w:val="21"/>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3</w:t>
                  </w:r>
                </w:p>
              </w:tc>
              <w:tc>
                <w:tcPr>
                  <w:tcW w:w="3092" w:type="dxa"/>
                  <w:gridSpan w:val="3"/>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bCs/>
                      <w:sz w:val="24"/>
                    </w:rPr>
                  </w:pPr>
                  <w:r>
                    <w:rPr>
                      <w:bCs/>
                    </w:rPr>
                    <w:t>综合实力部分</w:t>
                  </w:r>
                </w:p>
              </w:tc>
              <w:tc>
                <w:tcPr>
                  <w:tcW w:w="5300" w:type="dxa"/>
                  <w:tcBorders>
                    <w:top w:val="single" w:color="000000" w:sz="8" w:space="0"/>
                    <w:left w:val="single" w:color="000000" w:sz="8" w:space="0"/>
                    <w:bottom w:val="single" w:color="000000" w:sz="8" w:space="0"/>
                    <w:right w:val="single" w:color="000000" w:sz="8" w:space="0"/>
                  </w:tcBorders>
                </w:tcPr>
                <w:p>
                  <w:pPr>
                    <w:wordWrap w:val="0"/>
                    <w:jc w:val="center"/>
                    <w:rPr>
                      <w:rFonts w:ascii="宋体" w:hAnsi="宋体" w:cs="宋体"/>
                      <w:bCs/>
                      <w:sz w:val="24"/>
                    </w:rPr>
                  </w:pPr>
                  <w:r>
                    <w:rPr>
                      <w:bCs/>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rPr>
                      <w:rFonts w:ascii="宋体" w:hAnsi="宋体" w:cs="宋体"/>
                      <w:bCs/>
                      <w:sz w:val="24"/>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序号</w:t>
                  </w:r>
                </w:p>
              </w:tc>
              <w:tc>
                <w:tcPr>
                  <w:tcW w:w="1392"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评分因素</w:t>
                  </w:r>
                </w:p>
              </w:tc>
              <w:tc>
                <w:tcPr>
                  <w:tcW w:w="102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权重(%)</w:t>
                  </w:r>
                </w:p>
              </w:tc>
              <w:tc>
                <w:tcPr>
                  <w:tcW w:w="5300"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jc w:val="center"/>
                    <w:rPr>
                      <w:rFonts w:ascii="宋体" w:hAnsi="宋体" w:cs="宋体"/>
                      <w:szCs w:val="21"/>
                    </w:rPr>
                  </w:pPr>
                  <w:r>
                    <w:rPr>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1</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投标人通过相关认证情况</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8</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一、 评分内容：</w:t>
                  </w:r>
                </w:p>
                <w:p>
                  <w:pPr>
                    <w:wordWrap w:val="0"/>
                    <w:rPr>
                      <w:szCs w:val="21"/>
                    </w:rPr>
                  </w:pPr>
                  <w:r>
                    <w:rPr>
                      <w:szCs w:val="21"/>
                    </w:rPr>
                    <w:t>投标人具有的电梯安全评估相关的资质证书：</w:t>
                  </w:r>
                </w:p>
                <w:p>
                  <w:pPr>
                    <w:wordWrap w:val="0"/>
                    <w:rPr>
                      <w:szCs w:val="21"/>
                    </w:rPr>
                  </w:pPr>
                  <w:r>
                    <w:rPr>
                      <w:szCs w:val="21"/>
                    </w:rPr>
                    <w:t>1. 具有CMA资质认定证书，且认证项目包含</w:t>
                  </w:r>
                  <w:r>
                    <w:rPr>
                      <w:rFonts w:hint="eastAsia"/>
                      <w:szCs w:val="21"/>
                    </w:rPr>
                    <w:t>检测</w:t>
                  </w:r>
                  <w:r>
                    <w:rPr>
                      <w:szCs w:val="21"/>
                    </w:rPr>
                    <w:t>标准为深圳市《</w:t>
                  </w:r>
                  <w:r>
                    <w:rPr>
                      <w:rFonts w:hint="eastAsia"/>
                      <w:szCs w:val="21"/>
                    </w:rPr>
                    <w:t>电梯</w:t>
                  </w:r>
                  <w:r>
                    <w:rPr>
                      <w:szCs w:val="21"/>
                    </w:rPr>
                    <w:t>安全评估</w:t>
                  </w:r>
                  <w:r>
                    <w:rPr>
                      <w:rFonts w:hint="eastAsia"/>
                      <w:szCs w:val="21"/>
                    </w:rPr>
                    <w:t>规程</w:t>
                  </w:r>
                  <w:r>
                    <w:rPr>
                      <w:szCs w:val="21"/>
                    </w:rPr>
                    <w:t>》</w:t>
                  </w:r>
                  <w:r>
                    <w:rPr>
                      <w:rFonts w:hint="eastAsia"/>
                      <w:szCs w:val="21"/>
                    </w:rPr>
                    <w:t>（</w:t>
                  </w:r>
                  <w:r>
                    <w:rPr>
                      <w:szCs w:val="21"/>
                    </w:rPr>
                    <w:t>SZDB/Z 117—2014</w:t>
                  </w:r>
                  <w:r>
                    <w:rPr>
                      <w:rFonts w:hint="eastAsia"/>
                      <w:szCs w:val="21"/>
                    </w:rPr>
                    <w:t>）的电梯安全评估项目</w:t>
                  </w:r>
                  <w:r>
                    <w:rPr>
                      <w:szCs w:val="21"/>
                    </w:rPr>
                    <w:t>，得50分；</w:t>
                  </w:r>
                </w:p>
                <w:p>
                  <w:pPr>
                    <w:wordWrap w:val="0"/>
                    <w:rPr>
                      <w:szCs w:val="21"/>
                    </w:rPr>
                  </w:pPr>
                  <w:r>
                    <w:rPr>
                      <w:szCs w:val="21"/>
                    </w:rPr>
                    <w:t>2. 具有CNAS认可证书，</w:t>
                  </w:r>
                  <w:r>
                    <w:rPr>
                      <w:rFonts w:hint="eastAsia"/>
                      <w:szCs w:val="21"/>
                    </w:rPr>
                    <w:t>且认证项目包含检测标准为深圳市《电梯安全评估规程》（SZDB/Z 117—2014）的电梯安全评估项目</w:t>
                  </w:r>
                  <w:r>
                    <w:rPr>
                      <w:szCs w:val="21"/>
                    </w:rPr>
                    <w:t>，得50分。</w:t>
                  </w:r>
                </w:p>
                <w:p>
                  <w:pPr>
                    <w:wordWrap w:val="0"/>
                    <w:rPr>
                      <w:szCs w:val="21"/>
                    </w:rPr>
                  </w:pPr>
                  <w:r>
                    <w:rPr>
                      <w:szCs w:val="21"/>
                    </w:rPr>
                    <w:t xml:space="preserve">3. 不提供或者不能有效证明的，得0分。 </w:t>
                  </w:r>
                </w:p>
                <w:p>
                  <w:pPr>
                    <w:wordWrap w:val="0"/>
                    <w:rPr>
                      <w:szCs w:val="21"/>
                    </w:rPr>
                  </w:pPr>
                  <w:r>
                    <w:rPr>
                      <w:szCs w:val="21"/>
                    </w:rPr>
                    <w:t xml:space="preserve">二、 证明文件： 提供相关证明文件扫描件，原件备查。未提供不得分。 </w:t>
                  </w:r>
                </w:p>
                <w:p>
                  <w:pPr>
                    <w:wordWrap w:val="0"/>
                    <w:rPr>
                      <w:rFonts w:ascii="宋体" w:hAnsi="宋体" w:cs="宋体"/>
                      <w:szCs w:val="21"/>
                    </w:rPr>
                  </w:pPr>
                  <w:r>
                    <w:rPr>
                      <w:szCs w:val="21"/>
                    </w:rPr>
                    <w:t>备注：评分中出现无证明资料或证书过期或专家无法凭所提供资料判断是否得分的情况或证明文件未放入投标文件正文（信息公开部分），一律作不得分处理。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2</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投标人同类项目业绩情况</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10</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一、 评分内容：</w:t>
                  </w:r>
                  <w:r>
                    <w:rPr>
                      <w:szCs w:val="21"/>
                      <w:highlight w:val="none"/>
                    </w:rPr>
                    <w:t xml:space="preserve"> 投标人具有</w:t>
                  </w:r>
                  <w:r>
                    <w:rPr>
                      <w:rFonts w:hint="eastAsia"/>
                      <w:szCs w:val="21"/>
                      <w:highlight w:val="none"/>
                    </w:rPr>
                    <w:t>202</w:t>
                  </w:r>
                  <w:r>
                    <w:rPr>
                      <w:rFonts w:hint="eastAsia"/>
                      <w:szCs w:val="21"/>
                      <w:highlight w:val="none"/>
                      <w:lang w:val="en-US" w:eastAsia="zh-CN"/>
                    </w:rPr>
                    <w:t>0</w:t>
                  </w:r>
                  <w:r>
                    <w:rPr>
                      <w:szCs w:val="21"/>
                      <w:highlight w:val="none"/>
                    </w:rPr>
                    <w:t>年1月1日至</w:t>
                  </w:r>
                  <w:r>
                    <w:rPr>
                      <w:szCs w:val="21"/>
                    </w:rPr>
                    <w:t>投标截止日前（以合同签订日期为准）电梯</w:t>
                  </w:r>
                  <w:r>
                    <w:rPr>
                      <w:rFonts w:hint="eastAsia"/>
                      <w:szCs w:val="21"/>
                      <w:lang w:eastAsia="zh-CN"/>
                    </w:rPr>
                    <w:t>安全评估及</w:t>
                  </w:r>
                  <w:r>
                    <w:rPr>
                      <w:szCs w:val="21"/>
                    </w:rPr>
                    <w:t>更新改造技术服务工作业绩的，</w:t>
                  </w:r>
                  <w:r>
                    <w:rPr>
                      <w:rFonts w:hint="eastAsia"/>
                      <w:szCs w:val="21"/>
                    </w:rPr>
                    <w:t>每</w:t>
                  </w:r>
                  <w:r>
                    <w:rPr>
                      <w:szCs w:val="21"/>
                    </w:rPr>
                    <w:t>提供一项得</w:t>
                  </w:r>
                  <w:r>
                    <w:rPr>
                      <w:rFonts w:hint="eastAsia"/>
                      <w:szCs w:val="21"/>
                    </w:rPr>
                    <w:t>20分</w:t>
                  </w:r>
                  <w:r>
                    <w:rPr>
                      <w:szCs w:val="21"/>
                    </w:rPr>
                    <w:t xml:space="preserve">，最高得100分。 </w:t>
                  </w:r>
                </w:p>
                <w:p>
                  <w:pPr>
                    <w:wordWrap w:val="0"/>
                    <w:rPr>
                      <w:szCs w:val="21"/>
                    </w:rPr>
                  </w:pPr>
                  <w:r>
                    <w:rPr>
                      <w:szCs w:val="21"/>
                    </w:rPr>
                    <w:t>二、证明文件： 供应商必须提供项目合同关键</w:t>
                  </w:r>
                  <w:bookmarkStart w:id="0" w:name="_GoBack"/>
                  <w:bookmarkEnd w:id="0"/>
                  <w:r>
                    <w:rPr>
                      <w:szCs w:val="21"/>
                    </w:rPr>
                    <w:t xml:space="preserve">页扫描件，原件备查。 </w:t>
                  </w:r>
                </w:p>
                <w:p>
                  <w:pPr>
                    <w:wordWrap w:val="0"/>
                    <w:rPr>
                      <w:rFonts w:ascii="宋体" w:hAnsi="宋体" w:cs="宋体"/>
                      <w:szCs w:val="21"/>
                    </w:rPr>
                  </w:pPr>
                  <w:r>
                    <w:rPr>
                      <w:szCs w:val="21"/>
                    </w:rPr>
                    <w:t>备注：评分中出现无证明资料或证书过期或专家无法凭所提供资料判断是否得分的情况或证明文件未放入投标文件正文（信息公开部分），一律作不得分处理。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3</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专业技术力量（一）拟安排的项目负责人情况（仅限一人）</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4</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 xml:space="preserve">一、 评分内容： </w:t>
                  </w:r>
                </w:p>
                <w:p>
                  <w:pPr>
                    <w:wordWrap w:val="0"/>
                    <w:rPr>
                      <w:szCs w:val="21"/>
                    </w:rPr>
                  </w:pPr>
                  <w:r>
                    <w:rPr>
                      <w:szCs w:val="21"/>
                    </w:rPr>
                    <w:t>1.职称要求：负责人具有机电类正高级职称的得70分，副高级职称得35分；其他得0分。</w:t>
                  </w:r>
                </w:p>
                <w:p>
                  <w:pPr>
                    <w:wordWrap w:val="0"/>
                    <w:rPr>
                      <w:szCs w:val="21"/>
                    </w:rPr>
                  </w:pPr>
                  <w:r>
                    <w:rPr>
                      <w:szCs w:val="21"/>
                    </w:rPr>
                    <w:t>2.学历：具备硕士研究生（</w:t>
                  </w:r>
                  <w:r>
                    <w:rPr>
                      <w:rFonts w:hint="eastAsia"/>
                      <w:szCs w:val="21"/>
                      <w:lang w:val="en-US" w:eastAsia="zh-CN"/>
                    </w:rPr>
                    <w:t>或</w:t>
                  </w:r>
                  <w:r>
                    <w:rPr>
                      <w:szCs w:val="21"/>
                    </w:rPr>
                    <w:t>以上）学</w:t>
                  </w:r>
                  <w:r>
                    <w:rPr>
                      <w:rFonts w:hint="eastAsia"/>
                      <w:szCs w:val="21"/>
                      <w:lang w:val="en-US" w:eastAsia="zh-CN"/>
                    </w:rPr>
                    <w:t>位</w:t>
                  </w:r>
                  <w:r>
                    <w:rPr>
                      <w:szCs w:val="21"/>
                    </w:rPr>
                    <w:t xml:space="preserve">的，得30分；其他得0分。 </w:t>
                  </w:r>
                </w:p>
                <w:p>
                  <w:pPr>
                    <w:wordWrap w:val="0"/>
                    <w:rPr>
                      <w:rFonts w:hint="eastAsia"/>
                      <w:szCs w:val="21"/>
                      <w:lang w:eastAsia="zh-CN"/>
                    </w:rPr>
                  </w:pPr>
                  <w:r>
                    <w:rPr>
                      <w:szCs w:val="21"/>
                    </w:rPr>
                    <w:t>二、证明文件</w:t>
                  </w:r>
                  <w:r>
                    <w:rPr>
                      <w:rFonts w:hint="eastAsia"/>
                      <w:szCs w:val="21"/>
                      <w:lang w:eastAsia="zh-CN"/>
                    </w:rPr>
                    <w:t>：</w:t>
                  </w:r>
                </w:p>
                <w:p>
                  <w:pPr>
                    <w:wordWrap w:val="0"/>
                    <w:rPr>
                      <w:szCs w:val="21"/>
                      <w:highlight w:val="none"/>
                    </w:rPr>
                  </w:pPr>
                  <w:r>
                    <w:rPr>
                      <w:szCs w:val="21"/>
                    </w:rPr>
                    <w:t>1.须提供社保部门出具的投标企业缴</w:t>
                  </w:r>
                  <w:r>
                    <w:rPr>
                      <w:szCs w:val="21"/>
                      <w:highlight w:val="none"/>
                    </w:rPr>
                    <w:t>纳的2021年9月至2022</w:t>
                  </w:r>
                  <w:r>
                    <w:rPr>
                      <w:rFonts w:hint="eastAsia"/>
                      <w:szCs w:val="21"/>
                      <w:highlight w:val="none"/>
                    </w:rPr>
                    <w:t>年</w:t>
                  </w:r>
                  <w:r>
                    <w:rPr>
                      <w:szCs w:val="21"/>
                      <w:highlight w:val="none"/>
                    </w:rPr>
                    <w:t>10月社保证明文件扫描件，原件备查。</w:t>
                  </w:r>
                </w:p>
                <w:p>
                  <w:pPr>
                    <w:wordWrap w:val="0"/>
                    <w:rPr>
                      <w:szCs w:val="21"/>
                      <w:highlight w:val="none"/>
                    </w:rPr>
                  </w:pPr>
                  <w:r>
                    <w:rPr>
                      <w:szCs w:val="21"/>
                      <w:highlight w:val="none"/>
                    </w:rPr>
                    <w:t>2.须提供人员的学历证书、学位证书、职称证书扫描件，原件备查。</w:t>
                  </w:r>
                </w:p>
                <w:p>
                  <w:pPr>
                    <w:wordWrap w:val="0"/>
                    <w:rPr>
                      <w:szCs w:val="21"/>
                    </w:rPr>
                  </w:pPr>
                  <w:r>
                    <w:rPr>
                      <w:szCs w:val="21"/>
                    </w:rPr>
                    <w:t>3.未提供或提供的内容不符合要求的，不得分。</w:t>
                  </w:r>
                </w:p>
                <w:p>
                  <w:pPr>
                    <w:wordWrap w:val="0"/>
                    <w:rPr>
                      <w:rFonts w:ascii="宋体" w:hAnsi="宋体" w:cs="宋体"/>
                      <w:szCs w:val="21"/>
                    </w:rPr>
                  </w:pPr>
                  <w:r>
                    <w:rPr>
                      <w:szCs w:val="21"/>
                    </w:rPr>
                    <w:t>备注：评分中出现无证明资料或证书过期或专家无法凭所提供资料判断是否得分的情况或证明文件未放入投标文件正文（信息公开部分），一律作不得分处理。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4</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专业技术力量（二）拟安排的项目主要团队成员（主要技术人员）情况（项目负责人除外）</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hint="default" w:ascii="宋体" w:hAnsi="宋体" w:eastAsia="宋体" w:cs="宋体"/>
                      <w:szCs w:val="21"/>
                      <w:lang w:val="en-US" w:eastAsia="zh-CN"/>
                    </w:rPr>
                  </w:pPr>
                  <w:r>
                    <w:rPr>
                      <w:rFonts w:hint="eastAsia"/>
                      <w:szCs w:val="21"/>
                      <w:lang w:val="en-US" w:eastAsia="zh-CN"/>
                    </w:rPr>
                    <w:t>10</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一、 评分内容：</w:t>
                  </w:r>
                </w:p>
                <w:p>
                  <w:pPr>
                    <w:wordWrap w:val="0"/>
                    <w:rPr>
                      <w:szCs w:val="21"/>
                    </w:rPr>
                  </w:pPr>
                  <w:r>
                    <w:rPr>
                      <w:szCs w:val="21"/>
                    </w:rPr>
                    <w:t xml:space="preserve">1. </w:t>
                  </w:r>
                  <w:r>
                    <w:rPr>
                      <w:rFonts w:hint="eastAsia"/>
                      <w:szCs w:val="21"/>
                    </w:rPr>
                    <w:t>团队成</w:t>
                  </w:r>
                  <w:r>
                    <w:rPr>
                      <w:szCs w:val="21"/>
                    </w:rPr>
                    <w:t>员具有</w:t>
                  </w:r>
                  <w:r>
                    <w:rPr>
                      <w:rFonts w:hint="eastAsia"/>
                      <w:szCs w:val="21"/>
                    </w:rPr>
                    <w:t>取</w:t>
                  </w:r>
                  <w:r>
                    <w:rPr>
                      <w:szCs w:val="21"/>
                    </w:rPr>
                    <w:t>得</w:t>
                  </w:r>
                  <w:r>
                    <w:rPr>
                      <w:rFonts w:hint="eastAsia" w:asciiTheme="minorEastAsia" w:hAnsiTheme="minorEastAsia" w:eastAsiaTheme="minorEastAsia"/>
                      <w:szCs w:val="21"/>
                    </w:rPr>
                    <w:t>国家特种设备安全监督管理部门颁发的电梯检验师</w:t>
                  </w:r>
                  <w:r>
                    <w:rPr>
                      <w:rFonts w:asciiTheme="minorEastAsia" w:hAnsiTheme="minorEastAsia" w:eastAsiaTheme="minorEastAsia"/>
                      <w:szCs w:val="21"/>
                    </w:rPr>
                    <w:t>及以上</w:t>
                  </w:r>
                  <w:r>
                    <w:rPr>
                      <w:rFonts w:hint="eastAsia" w:asciiTheme="minorEastAsia" w:hAnsiTheme="minorEastAsia" w:eastAsiaTheme="minorEastAsia"/>
                      <w:szCs w:val="21"/>
                    </w:rPr>
                    <w:t>资格</w:t>
                  </w:r>
                  <w:r>
                    <w:rPr>
                      <w:rFonts w:asciiTheme="minorEastAsia" w:hAnsiTheme="minorEastAsia" w:eastAsiaTheme="minorEastAsia"/>
                      <w:szCs w:val="21"/>
                    </w:rPr>
                    <w:t>或</w:t>
                  </w:r>
                  <w:r>
                    <w:rPr>
                      <w:rFonts w:hint="eastAsia" w:asciiTheme="minorEastAsia" w:hAnsiTheme="minorEastAsia" w:eastAsiaTheme="minorEastAsia"/>
                      <w:szCs w:val="21"/>
                    </w:rPr>
                    <w:t>者取得机电中级专业技术</w:t>
                  </w:r>
                  <w:r>
                    <w:rPr>
                      <w:rFonts w:hint="eastAsia" w:asciiTheme="minorEastAsia" w:hAnsiTheme="minorEastAsia" w:eastAsiaTheme="minorEastAsia"/>
                      <w:szCs w:val="21"/>
                      <w:lang w:eastAsia="zh-CN"/>
                    </w:rPr>
                    <w:t>职称</w:t>
                  </w:r>
                  <w:r>
                    <w:rPr>
                      <w:rFonts w:asciiTheme="minorEastAsia" w:hAnsiTheme="minorEastAsia" w:eastAsiaTheme="minorEastAsia"/>
                      <w:szCs w:val="21"/>
                    </w:rPr>
                    <w:t>及以上</w:t>
                  </w:r>
                  <w:r>
                    <w:rPr>
                      <w:rFonts w:hint="eastAsia" w:asciiTheme="minorEastAsia" w:hAnsiTheme="minorEastAsia" w:eastAsiaTheme="minorEastAsia"/>
                      <w:szCs w:val="21"/>
                    </w:rPr>
                    <w:t>的，</w:t>
                  </w:r>
                  <w:r>
                    <w:rPr>
                      <w:rFonts w:asciiTheme="minorEastAsia" w:hAnsiTheme="minorEastAsia" w:eastAsiaTheme="minorEastAsia"/>
                      <w:szCs w:val="21"/>
                    </w:rPr>
                    <w:t>每有1</w:t>
                  </w:r>
                  <w:r>
                    <w:rPr>
                      <w:rFonts w:hint="eastAsia" w:asciiTheme="minorEastAsia" w:hAnsiTheme="minorEastAsia" w:eastAsiaTheme="minorEastAsia"/>
                      <w:szCs w:val="21"/>
                    </w:rPr>
                    <w:t>人</w:t>
                  </w:r>
                  <w:r>
                    <w:rPr>
                      <w:szCs w:val="21"/>
                    </w:rPr>
                    <w:t>得2.5分，本项最高得50分。</w:t>
                  </w:r>
                </w:p>
                <w:p>
                  <w:pPr>
                    <w:wordWrap w:val="0"/>
                    <w:rPr>
                      <w:szCs w:val="21"/>
                    </w:rPr>
                  </w:pPr>
                  <w:r>
                    <w:rPr>
                      <w:szCs w:val="21"/>
                    </w:rPr>
                    <w:t xml:space="preserve">2. </w:t>
                  </w:r>
                  <w:r>
                    <w:rPr>
                      <w:rFonts w:hint="eastAsia"/>
                      <w:szCs w:val="21"/>
                    </w:rPr>
                    <w:t>团队</w:t>
                  </w:r>
                  <w:r>
                    <w:rPr>
                      <w:szCs w:val="21"/>
                    </w:rPr>
                    <w:t>成员中有不少于10人具有</w:t>
                  </w:r>
                  <w:r>
                    <w:rPr>
                      <w:rFonts w:hint="eastAsia"/>
                      <w:szCs w:val="21"/>
                    </w:rPr>
                    <w:t>高级</w:t>
                  </w:r>
                  <w:r>
                    <w:rPr>
                      <w:szCs w:val="21"/>
                    </w:rPr>
                    <w:t>工程师</w:t>
                  </w:r>
                  <w:r>
                    <w:rPr>
                      <w:rFonts w:hint="eastAsia"/>
                      <w:szCs w:val="21"/>
                    </w:rPr>
                    <w:t>职称</w:t>
                  </w:r>
                  <w:r>
                    <w:rPr>
                      <w:szCs w:val="21"/>
                    </w:rPr>
                    <w:t>的</w:t>
                  </w:r>
                  <w:r>
                    <w:rPr>
                      <w:rFonts w:hint="eastAsia"/>
                      <w:szCs w:val="21"/>
                    </w:rPr>
                    <w:t>（</w:t>
                  </w:r>
                  <w:r>
                    <w:rPr>
                      <w:szCs w:val="21"/>
                    </w:rPr>
                    <w:t>专业为机电类或质量类），</w:t>
                  </w:r>
                  <w:r>
                    <w:rPr>
                      <w:rFonts w:hint="eastAsia"/>
                      <w:lang w:val="en-US" w:eastAsia="zh-CN"/>
                    </w:rPr>
                    <w:t>每有1人具有</w:t>
                  </w:r>
                  <w:r>
                    <w:rPr>
                      <w:rFonts w:hint="eastAsia"/>
                      <w:szCs w:val="21"/>
                    </w:rPr>
                    <w:t>高级</w:t>
                  </w:r>
                  <w:r>
                    <w:rPr>
                      <w:szCs w:val="21"/>
                    </w:rPr>
                    <w:t>工程师</w:t>
                  </w:r>
                  <w:r>
                    <w:rPr>
                      <w:rFonts w:hint="eastAsia"/>
                      <w:szCs w:val="21"/>
                    </w:rPr>
                    <w:t>职称</w:t>
                  </w:r>
                  <w:r>
                    <w:rPr>
                      <w:rFonts w:hint="eastAsia"/>
                      <w:lang w:val="en-US" w:eastAsia="zh-CN"/>
                    </w:rPr>
                    <w:t>得5分，最高得50分</w:t>
                  </w:r>
                  <w:r>
                    <w:rPr>
                      <w:szCs w:val="21"/>
                    </w:rPr>
                    <w:t>；其他得0分。</w:t>
                  </w:r>
                </w:p>
                <w:p>
                  <w:pPr>
                    <w:wordWrap w:val="0"/>
                    <w:rPr>
                      <w:szCs w:val="21"/>
                    </w:rPr>
                  </w:pPr>
                  <w:r>
                    <w:rPr>
                      <w:szCs w:val="21"/>
                    </w:rPr>
                    <w:t>二、 证明文件：</w:t>
                  </w:r>
                </w:p>
                <w:p>
                  <w:pPr>
                    <w:wordWrap w:val="0"/>
                    <w:rPr>
                      <w:szCs w:val="21"/>
                    </w:rPr>
                  </w:pPr>
                  <w:r>
                    <w:rPr>
                      <w:szCs w:val="21"/>
                    </w:rPr>
                    <w:t>1. 须提供社保部门出具的投标企业缴纳</w:t>
                  </w:r>
                  <w:r>
                    <w:rPr>
                      <w:szCs w:val="21"/>
                      <w:highlight w:val="none"/>
                    </w:rPr>
                    <w:t>的2021</w:t>
                  </w:r>
                  <w:r>
                    <w:rPr>
                      <w:rFonts w:hint="eastAsia"/>
                      <w:szCs w:val="21"/>
                      <w:highlight w:val="none"/>
                    </w:rPr>
                    <w:t>年</w:t>
                  </w:r>
                  <w:r>
                    <w:rPr>
                      <w:rFonts w:hint="eastAsia"/>
                      <w:szCs w:val="21"/>
                      <w:highlight w:val="none"/>
                      <w:lang w:val="en-US" w:eastAsia="zh-CN"/>
                    </w:rPr>
                    <w:t>12</w:t>
                  </w:r>
                  <w:r>
                    <w:rPr>
                      <w:rFonts w:hint="eastAsia"/>
                      <w:szCs w:val="21"/>
                      <w:highlight w:val="none"/>
                    </w:rPr>
                    <w:t>月至</w:t>
                  </w:r>
                  <w:r>
                    <w:rPr>
                      <w:szCs w:val="21"/>
                      <w:highlight w:val="none"/>
                    </w:rPr>
                    <w:t>2022</w:t>
                  </w:r>
                  <w:r>
                    <w:rPr>
                      <w:rFonts w:hint="eastAsia"/>
                      <w:szCs w:val="21"/>
                      <w:highlight w:val="none"/>
                    </w:rPr>
                    <w:t>年</w:t>
                  </w:r>
                  <w:r>
                    <w:rPr>
                      <w:szCs w:val="21"/>
                      <w:highlight w:val="none"/>
                    </w:rPr>
                    <w:t>1</w:t>
                  </w:r>
                  <w:r>
                    <w:rPr>
                      <w:rFonts w:hint="eastAsia"/>
                      <w:szCs w:val="21"/>
                      <w:highlight w:val="none"/>
                      <w:lang w:val="en-US" w:eastAsia="zh-CN"/>
                    </w:rPr>
                    <w:t>1</w:t>
                  </w:r>
                  <w:r>
                    <w:rPr>
                      <w:rFonts w:hint="eastAsia"/>
                      <w:szCs w:val="21"/>
                      <w:highlight w:val="none"/>
                    </w:rPr>
                    <w:t>月</w:t>
                  </w:r>
                  <w:r>
                    <w:rPr>
                      <w:szCs w:val="21"/>
                    </w:rPr>
                    <w:t>社保证明文件原件扫描件，原件备查</w:t>
                  </w:r>
                  <w:r>
                    <w:rPr>
                      <w:rFonts w:hint="eastAsia"/>
                      <w:szCs w:val="21"/>
                      <w:lang w:eastAsia="zh-CN"/>
                    </w:rPr>
                    <w:t>（</w:t>
                  </w:r>
                  <w:r>
                    <w:rPr>
                      <w:rFonts w:hint="eastAsia"/>
                      <w:szCs w:val="21"/>
                      <w:lang w:val="en-US" w:eastAsia="zh-CN"/>
                    </w:rPr>
                    <w:t>投标人成立年限不足1年的提供相关说明及自成立以来为对应人员交纳的社保证明文件</w:t>
                  </w:r>
                  <w:r>
                    <w:rPr>
                      <w:rFonts w:hint="eastAsia"/>
                      <w:szCs w:val="21"/>
                      <w:lang w:eastAsia="zh-CN"/>
                    </w:rPr>
                    <w:t>）</w:t>
                  </w:r>
                  <w:r>
                    <w:rPr>
                      <w:szCs w:val="21"/>
                    </w:rPr>
                    <w:t>。</w:t>
                  </w:r>
                </w:p>
                <w:p>
                  <w:pPr>
                    <w:wordWrap w:val="0"/>
                    <w:rPr>
                      <w:szCs w:val="21"/>
                    </w:rPr>
                  </w:pPr>
                  <w:r>
                    <w:rPr>
                      <w:szCs w:val="21"/>
                    </w:rPr>
                    <w:t>2. 须提供人员的职称证书、资质证书扫描件，原件备查。其中“电梯检验师”资质证书颁发单位为国家特种设备安全监督管理部门。</w:t>
                  </w:r>
                </w:p>
                <w:p>
                  <w:pPr>
                    <w:wordWrap w:val="0"/>
                    <w:rPr>
                      <w:szCs w:val="21"/>
                    </w:rPr>
                  </w:pPr>
                  <w:r>
                    <w:rPr>
                      <w:szCs w:val="21"/>
                    </w:rPr>
                    <w:t>3. 未提供或提供的内容不符合要求的，不得分。</w:t>
                  </w:r>
                </w:p>
                <w:p>
                  <w:pPr>
                    <w:wordWrap w:val="0"/>
                    <w:rPr>
                      <w:rFonts w:ascii="宋体" w:hAnsi="宋体" w:cs="宋体"/>
                      <w:szCs w:val="21"/>
                    </w:rPr>
                  </w:pPr>
                  <w:r>
                    <w:rPr>
                      <w:szCs w:val="21"/>
                    </w:rPr>
                    <w:t>备注：评分中出现无证明资料或证书过期或专家无法凭所提供资料判断是否得分的情况或证明文件未放入投标文件正文（信息公开部分），一律作不得分处理。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top w:val="single" w:color="000000" w:sz="8" w:space="0"/>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5</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具备与承担工作相适应的设施</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rFonts w:ascii="宋体" w:hAnsi="宋体" w:cs="宋体"/>
                      <w:szCs w:val="21"/>
                    </w:rPr>
                  </w:pPr>
                  <w:r>
                    <w:rPr>
                      <w:szCs w:val="21"/>
                    </w:rPr>
                    <w:t>8</w:t>
                  </w:r>
                </w:p>
              </w:tc>
              <w:tc>
                <w:tcPr>
                  <w:tcW w:w="5300" w:type="dxa"/>
                  <w:tcBorders>
                    <w:top w:val="single" w:color="000000" w:sz="8" w:space="0"/>
                    <w:left w:val="single" w:color="000000" w:sz="8" w:space="0"/>
                    <w:bottom w:val="single" w:color="000000" w:sz="8" w:space="0"/>
                    <w:right w:val="single" w:color="000000" w:sz="8" w:space="0"/>
                  </w:tcBorders>
                </w:tcPr>
                <w:p>
                  <w:pPr>
                    <w:wordWrap w:val="0"/>
                    <w:rPr>
                      <w:szCs w:val="21"/>
                    </w:rPr>
                  </w:pPr>
                  <w:r>
                    <w:rPr>
                      <w:szCs w:val="21"/>
                    </w:rPr>
                    <w:t xml:space="preserve">一、评分内容： </w:t>
                  </w:r>
                </w:p>
                <w:p>
                  <w:pPr>
                    <w:wordWrap w:val="0"/>
                    <w:rPr>
                      <w:szCs w:val="21"/>
                    </w:rPr>
                  </w:pPr>
                  <w:r>
                    <w:rPr>
                      <w:szCs w:val="21"/>
                    </w:rPr>
                    <w:t>1.投标人为本项目投入车辆5辆或以上（要求粤B牌照）得20分，投入车辆1-4辆得10分；没有得0分。</w:t>
                  </w:r>
                </w:p>
                <w:p>
                  <w:pPr>
                    <w:wordWrap w:val="0"/>
                    <w:rPr>
                      <w:szCs w:val="21"/>
                    </w:rPr>
                  </w:pPr>
                  <w:r>
                    <w:rPr>
                      <w:szCs w:val="21"/>
                    </w:rPr>
                    <w:t>2.投标人有能实现电梯安全评估工作全流程管理的业务系统（至少包括业务流程管理、评估记录录入和评估报告出具功能），得80分；没有得0分。</w:t>
                  </w:r>
                </w:p>
                <w:p>
                  <w:pPr>
                    <w:wordWrap w:val="0"/>
                    <w:rPr>
                      <w:szCs w:val="21"/>
                    </w:rPr>
                  </w:pPr>
                  <w:r>
                    <w:rPr>
                      <w:szCs w:val="21"/>
                    </w:rPr>
                    <w:t>二、证明文件：</w:t>
                  </w:r>
                </w:p>
                <w:p>
                  <w:pPr>
                    <w:wordWrap w:val="0"/>
                    <w:rPr>
                      <w:szCs w:val="21"/>
                    </w:rPr>
                  </w:pPr>
                  <w:r>
                    <w:rPr>
                      <w:szCs w:val="21"/>
                    </w:rPr>
                    <w:t>1.车辆自有或租赁均可。自有车辆则提供购买发票或行驶证扫描件（原件备查）；租赁车辆则提供租赁合同及行驶证扫描件（原件备查）。</w:t>
                  </w:r>
                </w:p>
                <w:p>
                  <w:pPr>
                    <w:wordWrap w:val="0"/>
                    <w:rPr>
                      <w:szCs w:val="21"/>
                    </w:rPr>
                  </w:pPr>
                  <w:r>
                    <w:rPr>
                      <w:szCs w:val="21"/>
                    </w:rPr>
                    <w:t>2.提供与软件开发公司关于开发信息系统平台的合同扫描件（原件备查，合同内容要求有电梯安全评估功能说明）或内部立项及验收材料。</w:t>
                  </w:r>
                </w:p>
                <w:p>
                  <w:pPr>
                    <w:wordWrap w:val="0"/>
                    <w:rPr>
                      <w:rFonts w:ascii="宋体" w:hAnsi="宋体" w:cs="宋体"/>
                      <w:szCs w:val="21"/>
                    </w:rPr>
                  </w:pPr>
                  <w:r>
                    <w:rPr>
                      <w:szCs w:val="21"/>
                    </w:rPr>
                    <w:t>备注： 评分中出现无证明资料或证书过期或专家无法凭所提供资料判断是否得分的情况或证明文件未放入投标文件正文（信息公开部分），一律作不得分处理。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jc w:val="center"/>
                    <w:rPr>
                      <w:rFonts w:ascii="宋体" w:hAnsi="宋体" w:cs="宋体"/>
                      <w:bCs/>
                      <w:sz w:val="24"/>
                    </w:rPr>
                  </w:pPr>
                  <w:r>
                    <w:rPr>
                      <w:rFonts w:hint="eastAsia" w:ascii="宋体" w:hAnsi="宋体" w:cs="宋体"/>
                      <w:bCs/>
                      <w:sz w:val="24"/>
                    </w:rPr>
                    <w:t>4</w:t>
                  </w:r>
                </w:p>
              </w:tc>
              <w:tc>
                <w:tcPr>
                  <w:tcW w:w="3092" w:type="dxa"/>
                  <w:gridSpan w:val="3"/>
                  <w:tcBorders>
                    <w:top w:val="single" w:color="000000" w:sz="8" w:space="0"/>
                    <w:left w:val="single" w:color="000000" w:sz="8" w:space="0"/>
                    <w:bottom w:val="single" w:color="000000" w:sz="8" w:space="0"/>
                    <w:right w:val="single" w:color="000000" w:sz="8" w:space="0"/>
                  </w:tcBorders>
                  <w:vAlign w:val="center"/>
                </w:tcPr>
                <w:p>
                  <w:pPr>
                    <w:jc w:val="center"/>
                    <w:rPr>
                      <w:szCs w:val="21"/>
                    </w:rPr>
                  </w:pPr>
                  <w:r>
                    <w:rPr>
                      <w:rFonts w:hint="eastAsia"/>
                      <w:szCs w:val="21"/>
                    </w:rPr>
                    <w:t>信用</w:t>
                  </w:r>
                  <w:r>
                    <w:rPr>
                      <w:szCs w:val="21"/>
                    </w:rPr>
                    <w:t>部分</w:t>
                  </w:r>
                </w:p>
              </w:tc>
              <w:tc>
                <w:tcPr>
                  <w:tcW w:w="5300" w:type="dxa"/>
                  <w:tcBorders>
                    <w:top w:val="single" w:color="000000" w:sz="8" w:space="0"/>
                    <w:left w:val="single" w:color="000000" w:sz="8" w:space="0"/>
                    <w:bottom w:val="single" w:color="000000" w:sz="8" w:space="0"/>
                    <w:right w:val="single" w:color="000000" w:sz="8" w:space="0"/>
                  </w:tcBorders>
                </w:tcPr>
                <w:p>
                  <w:pPr>
                    <w:jc w:val="center"/>
                    <w:rPr>
                      <w:szCs w:val="21"/>
                    </w:rPr>
                  </w:pPr>
                  <w:r>
                    <w:rPr>
                      <w:rFonts w:hint="eastAsia"/>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vAlign w:val="center"/>
                </w:tcPr>
                <w:p>
                  <w:pPr>
                    <w:rPr>
                      <w:rFonts w:ascii="宋体" w:hAnsi="宋体" w:cs="宋体"/>
                      <w:bCs/>
                      <w:sz w:val="24"/>
                    </w:rPr>
                  </w:pPr>
                </w:p>
              </w:tc>
              <w:tc>
                <w:tcPr>
                  <w:tcW w:w="680" w:type="dxa"/>
                  <w:tcBorders>
                    <w:top w:val="single" w:color="000000" w:sz="8" w:space="0"/>
                    <w:left w:val="single" w:color="000000" w:sz="8" w:space="0"/>
                    <w:bottom w:val="single" w:color="000000" w:sz="8" w:space="0"/>
                    <w:right w:val="single" w:color="000000" w:sz="8" w:space="0"/>
                  </w:tcBorders>
                  <w:vAlign w:val="center"/>
                </w:tcPr>
                <w:p>
                  <w:pPr>
                    <w:wordWrap w:val="0"/>
                    <w:jc w:val="center"/>
                    <w:rPr>
                      <w:szCs w:val="21"/>
                    </w:rPr>
                  </w:pPr>
                  <w:r>
                    <w:rPr>
                      <w:rFonts w:hint="eastAsia"/>
                      <w:szCs w:val="21"/>
                    </w:rPr>
                    <w:t>1</w:t>
                  </w:r>
                </w:p>
              </w:tc>
              <w:tc>
                <w:tcPr>
                  <w:tcW w:w="1392" w:type="dxa"/>
                  <w:tcBorders>
                    <w:top w:val="single" w:color="000000" w:sz="8" w:space="0"/>
                    <w:left w:val="single" w:color="000000" w:sz="8" w:space="0"/>
                    <w:bottom w:val="single" w:color="000000" w:sz="8" w:space="0"/>
                    <w:right w:val="single" w:color="000000" w:sz="8" w:space="0"/>
                  </w:tcBorders>
                  <w:vAlign w:val="center"/>
                </w:tcPr>
                <w:p>
                  <w:pPr>
                    <w:wordWrap w:val="0"/>
                    <w:jc w:val="center"/>
                    <w:rPr>
                      <w:szCs w:val="21"/>
                    </w:rPr>
                  </w:pPr>
                  <w:r>
                    <w:rPr>
                      <w:rFonts w:hint="eastAsia"/>
                      <w:szCs w:val="21"/>
                    </w:rPr>
                    <w:t>诚信</w:t>
                  </w:r>
                  <w:r>
                    <w:rPr>
                      <w:szCs w:val="21"/>
                    </w:rPr>
                    <w:t>体系</w:t>
                  </w:r>
                </w:p>
              </w:tc>
              <w:tc>
                <w:tcPr>
                  <w:tcW w:w="1020" w:type="dxa"/>
                  <w:tcBorders>
                    <w:top w:val="single" w:color="000000" w:sz="8" w:space="0"/>
                    <w:left w:val="single" w:color="000000" w:sz="8" w:space="0"/>
                    <w:bottom w:val="single" w:color="000000" w:sz="8" w:space="0"/>
                    <w:right w:val="single" w:color="000000" w:sz="8" w:space="0"/>
                  </w:tcBorders>
                  <w:vAlign w:val="center"/>
                </w:tcPr>
                <w:p>
                  <w:pPr>
                    <w:wordWrap w:val="0"/>
                    <w:jc w:val="center"/>
                    <w:rPr>
                      <w:szCs w:val="21"/>
                    </w:rPr>
                  </w:pPr>
                  <w:r>
                    <w:rPr>
                      <w:rFonts w:hint="eastAsia"/>
                      <w:szCs w:val="21"/>
                    </w:rPr>
                    <w:t>5</w:t>
                  </w:r>
                </w:p>
              </w:tc>
              <w:tc>
                <w:tcPr>
                  <w:tcW w:w="5300" w:type="dxa"/>
                  <w:tcBorders>
                    <w:top w:val="single" w:color="000000" w:sz="8" w:space="0"/>
                    <w:left w:val="single" w:color="000000" w:sz="8" w:space="0"/>
                    <w:bottom w:val="single" w:color="000000" w:sz="8" w:space="0"/>
                    <w:right w:val="single" w:color="000000" w:sz="8" w:space="0"/>
                  </w:tcBorders>
                </w:tcPr>
                <w:p>
                  <w:pPr>
                    <w:wordWrap w:val="0"/>
                    <w:rPr>
                      <w:rFonts w:hint="eastAsia" w:eastAsia="宋体"/>
                      <w:szCs w:val="21"/>
                      <w:lang w:eastAsia="zh-CN"/>
                    </w:rPr>
                  </w:pPr>
                  <w:r>
                    <w:rPr>
                      <w:szCs w:val="21"/>
                    </w:rPr>
                    <w:t>投标人在参与政府采购活动中存在诚信相关问题且在主管部门相关处理措施实施期限内的。投标人无需提供任何证明材料，由工作人员向评审委员会提供相关信息</w:t>
                  </w:r>
                  <w:r>
                    <w:rPr>
                      <w:rFonts w:hint="eastAsia"/>
                      <w:szCs w:val="21"/>
                      <w:lang w:eastAsia="zh-CN"/>
                    </w:rPr>
                    <w:t>。</w:t>
                  </w:r>
                </w:p>
              </w:tc>
            </w:tr>
          </w:tbl>
          <w:p>
            <w:pPr>
              <w:spacing w:line="360" w:lineRule="exact"/>
              <w:rPr>
                <w:rFonts w:asciiTheme="minorEastAsia" w:hAnsiTheme="minorEastAsia" w:eastAsiaTheme="minorEastAsia"/>
                <w:szCs w:val="21"/>
              </w:rPr>
            </w:pPr>
          </w:p>
        </w:tc>
      </w:tr>
    </w:tbl>
    <w:p/>
    <w:sectPr>
      <w:pgSz w:w="11906" w:h="16838"/>
      <w:pgMar w:top="1440" w:right="1416" w:bottom="1440" w:left="1797" w:header="851" w:footer="992" w:gutter="0"/>
      <w:pgNumType w:fmt="numberInDash"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DFhZjI5NTZhOTU3ZjcxMThkYTQ5MDA0N2FiMWQifQ=="/>
  </w:docVars>
  <w:rsids>
    <w:rsidRoot w:val="00543479"/>
    <w:rsid w:val="000006C2"/>
    <w:rsid w:val="00022860"/>
    <w:rsid w:val="00032182"/>
    <w:rsid w:val="00040E87"/>
    <w:rsid w:val="00041CF3"/>
    <w:rsid w:val="00041D0C"/>
    <w:rsid w:val="000511B5"/>
    <w:rsid w:val="00057862"/>
    <w:rsid w:val="00061AA0"/>
    <w:rsid w:val="00063DA7"/>
    <w:rsid w:val="00070CED"/>
    <w:rsid w:val="00081028"/>
    <w:rsid w:val="0009417F"/>
    <w:rsid w:val="000974A1"/>
    <w:rsid w:val="000A05E9"/>
    <w:rsid w:val="000A1BC6"/>
    <w:rsid w:val="000C0592"/>
    <w:rsid w:val="000C4BCB"/>
    <w:rsid w:val="000D01F5"/>
    <w:rsid w:val="000D6817"/>
    <w:rsid w:val="000D68A9"/>
    <w:rsid w:val="000D6E78"/>
    <w:rsid w:val="000F4FE5"/>
    <w:rsid w:val="000F7437"/>
    <w:rsid w:val="00107C7C"/>
    <w:rsid w:val="00111A33"/>
    <w:rsid w:val="00112233"/>
    <w:rsid w:val="001126C2"/>
    <w:rsid w:val="001409B9"/>
    <w:rsid w:val="001614C0"/>
    <w:rsid w:val="00164103"/>
    <w:rsid w:val="001828FE"/>
    <w:rsid w:val="00185B7C"/>
    <w:rsid w:val="00196A5D"/>
    <w:rsid w:val="001978DD"/>
    <w:rsid w:val="001C0DB9"/>
    <w:rsid w:val="001C2379"/>
    <w:rsid w:val="001D57FF"/>
    <w:rsid w:val="001E1005"/>
    <w:rsid w:val="001F0597"/>
    <w:rsid w:val="001F27B3"/>
    <w:rsid w:val="00202142"/>
    <w:rsid w:val="00211E0A"/>
    <w:rsid w:val="00211FD5"/>
    <w:rsid w:val="00212F96"/>
    <w:rsid w:val="00215C1D"/>
    <w:rsid w:val="002252FC"/>
    <w:rsid w:val="0023563C"/>
    <w:rsid w:val="00236C2D"/>
    <w:rsid w:val="00237CBE"/>
    <w:rsid w:val="00265257"/>
    <w:rsid w:val="00267B63"/>
    <w:rsid w:val="00272EE0"/>
    <w:rsid w:val="002731B4"/>
    <w:rsid w:val="002755A4"/>
    <w:rsid w:val="00276CA8"/>
    <w:rsid w:val="00282F4B"/>
    <w:rsid w:val="0029244A"/>
    <w:rsid w:val="00296746"/>
    <w:rsid w:val="002B04C4"/>
    <w:rsid w:val="002C495B"/>
    <w:rsid w:val="002D01F2"/>
    <w:rsid w:val="002D3ECF"/>
    <w:rsid w:val="002E4D9D"/>
    <w:rsid w:val="002E70E7"/>
    <w:rsid w:val="002F0C29"/>
    <w:rsid w:val="002F7A04"/>
    <w:rsid w:val="003176D9"/>
    <w:rsid w:val="00340135"/>
    <w:rsid w:val="003442F3"/>
    <w:rsid w:val="00346BF1"/>
    <w:rsid w:val="00347485"/>
    <w:rsid w:val="0034753F"/>
    <w:rsid w:val="00352F91"/>
    <w:rsid w:val="00353A45"/>
    <w:rsid w:val="00355BD9"/>
    <w:rsid w:val="00365459"/>
    <w:rsid w:val="00381387"/>
    <w:rsid w:val="003822CB"/>
    <w:rsid w:val="003C0B7B"/>
    <w:rsid w:val="003C4FEE"/>
    <w:rsid w:val="003E3C22"/>
    <w:rsid w:val="0040475A"/>
    <w:rsid w:val="004218CA"/>
    <w:rsid w:val="0043226D"/>
    <w:rsid w:val="004407E9"/>
    <w:rsid w:val="004435CD"/>
    <w:rsid w:val="00444AC9"/>
    <w:rsid w:val="00446364"/>
    <w:rsid w:val="004633CD"/>
    <w:rsid w:val="00472295"/>
    <w:rsid w:val="004748C6"/>
    <w:rsid w:val="0048086F"/>
    <w:rsid w:val="004A35FC"/>
    <w:rsid w:val="004A3866"/>
    <w:rsid w:val="004B5A85"/>
    <w:rsid w:val="004D4742"/>
    <w:rsid w:val="004D5752"/>
    <w:rsid w:val="00531F73"/>
    <w:rsid w:val="0053543C"/>
    <w:rsid w:val="005415E7"/>
    <w:rsid w:val="00543479"/>
    <w:rsid w:val="00583E18"/>
    <w:rsid w:val="00585A11"/>
    <w:rsid w:val="00592386"/>
    <w:rsid w:val="0059560F"/>
    <w:rsid w:val="005958C7"/>
    <w:rsid w:val="00595B25"/>
    <w:rsid w:val="005A5D86"/>
    <w:rsid w:val="005B2723"/>
    <w:rsid w:val="005B6E14"/>
    <w:rsid w:val="005C0E64"/>
    <w:rsid w:val="005D7F36"/>
    <w:rsid w:val="00606C77"/>
    <w:rsid w:val="00620540"/>
    <w:rsid w:val="006226EF"/>
    <w:rsid w:val="006412C9"/>
    <w:rsid w:val="00643BB8"/>
    <w:rsid w:val="00645704"/>
    <w:rsid w:val="00656B20"/>
    <w:rsid w:val="00683373"/>
    <w:rsid w:val="006A02AA"/>
    <w:rsid w:val="006C0560"/>
    <w:rsid w:val="006C210F"/>
    <w:rsid w:val="006D1B4E"/>
    <w:rsid w:val="006D3313"/>
    <w:rsid w:val="006D4861"/>
    <w:rsid w:val="006D494F"/>
    <w:rsid w:val="006E356C"/>
    <w:rsid w:val="006E37AE"/>
    <w:rsid w:val="006E3D64"/>
    <w:rsid w:val="006E4B04"/>
    <w:rsid w:val="007139E8"/>
    <w:rsid w:val="00715329"/>
    <w:rsid w:val="00737E95"/>
    <w:rsid w:val="00751979"/>
    <w:rsid w:val="00761064"/>
    <w:rsid w:val="00761361"/>
    <w:rsid w:val="00761B4D"/>
    <w:rsid w:val="00773497"/>
    <w:rsid w:val="00782C32"/>
    <w:rsid w:val="00785208"/>
    <w:rsid w:val="007857FD"/>
    <w:rsid w:val="00787EC4"/>
    <w:rsid w:val="00790877"/>
    <w:rsid w:val="00795121"/>
    <w:rsid w:val="007A5AD6"/>
    <w:rsid w:val="007A5B28"/>
    <w:rsid w:val="007B36B4"/>
    <w:rsid w:val="007B3950"/>
    <w:rsid w:val="007C04F7"/>
    <w:rsid w:val="007C0C1D"/>
    <w:rsid w:val="007C2504"/>
    <w:rsid w:val="007C494C"/>
    <w:rsid w:val="007C65E5"/>
    <w:rsid w:val="007D123A"/>
    <w:rsid w:val="007D2657"/>
    <w:rsid w:val="007D3076"/>
    <w:rsid w:val="007E57C5"/>
    <w:rsid w:val="007F4340"/>
    <w:rsid w:val="00826B86"/>
    <w:rsid w:val="00853287"/>
    <w:rsid w:val="00876D50"/>
    <w:rsid w:val="008832A0"/>
    <w:rsid w:val="00893C9D"/>
    <w:rsid w:val="008A16C2"/>
    <w:rsid w:val="008A5578"/>
    <w:rsid w:val="008C36E7"/>
    <w:rsid w:val="008D35D0"/>
    <w:rsid w:val="008D4FD9"/>
    <w:rsid w:val="008E523F"/>
    <w:rsid w:val="008F7895"/>
    <w:rsid w:val="00912514"/>
    <w:rsid w:val="00930EF7"/>
    <w:rsid w:val="00940057"/>
    <w:rsid w:val="00947CBB"/>
    <w:rsid w:val="00953229"/>
    <w:rsid w:val="0097117C"/>
    <w:rsid w:val="009715E7"/>
    <w:rsid w:val="0097759D"/>
    <w:rsid w:val="0099513B"/>
    <w:rsid w:val="0099681F"/>
    <w:rsid w:val="009A2F4F"/>
    <w:rsid w:val="009A5FC1"/>
    <w:rsid w:val="009B7909"/>
    <w:rsid w:val="009C1518"/>
    <w:rsid w:val="009C1BCB"/>
    <w:rsid w:val="009C74C1"/>
    <w:rsid w:val="009E2F40"/>
    <w:rsid w:val="009E3252"/>
    <w:rsid w:val="009F042B"/>
    <w:rsid w:val="009F0728"/>
    <w:rsid w:val="009F2026"/>
    <w:rsid w:val="00A03654"/>
    <w:rsid w:val="00A175C1"/>
    <w:rsid w:val="00A32705"/>
    <w:rsid w:val="00A42E4F"/>
    <w:rsid w:val="00A46074"/>
    <w:rsid w:val="00A5454D"/>
    <w:rsid w:val="00A77FBB"/>
    <w:rsid w:val="00A80130"/>
    <w:rsid w:val="00A83A55"/>
    <w:rsid w:val="00AA16C6"/>
    <w:rsid w:val="00AB6C70"/>
    <w:rsid w:val="00AC0988"/>
    <w:rsid w:val="00AC2339"/>
    <w:rsid w:val="00AC3761"/>
    <w:rsid w:val="00AE5E17"/>
    <w:rsid w:val="00AF27E7"/>
    <w:rsid w:val="00B05EA4"/>
    <w:rsid w:val="00B130D9"/>
    <w:rsid w:val="00B155E9"/>
    <w:rsid w:val="00B27DAF"/>
    <w:rsid w:val="00B34E9A"/>
    <w:rsid w:val="00B34F25"/>
    <w:rsid w:val="00B35DC0"/>
    <w:rsid w:val="00B36CB7"/>
    <w:rsid w:val="00B36F73"/>
    <w:rsid w:val="00B43EC5"/>
    <w:rsid w:val="00B5383E"/>
    <w:rsid w:val="00B6568F"/>
    <w:rsid w:val="00B741A4"/>
    <w:rsid w:val="00B834BE"/>
    <w:rsid w:val="00B87FC7"/>
    <w:rsid w:val="00B93B6E"/>
    <w:rsid w:val="00BC4C83"/>
    <w:rsid w:val="00BC552D"/>
    <w:rsid w:val="00BD1F66"/>
    <w:rsid w:val="00BD3047"/>
    <w:rsid w:val="00BF1591"/>
    <w:rsid w:val="00C055B2"/>
    <w:rsid w:val="00C11D22"/>
    <w:rsid w:val="00C26B68"/>
    <w:rsid w:val="00C4095A"/>
    <w:rsid w:val="00C440CC"/>
    <w:rsid w:val="00C528E1"/>
    <w:rsid w:val="00C716AF"/>
    <w:rsid w:val="00C97C37"/>
    <w:rsid w:val="00CA3FE0"/>
    <w:rsid w:val="00CC2F5A"/>
    <w:rsid w:val="00CD0429"/>
    <w:rsid w:val="00CD337B"/>
    <w:rsid w:val="00CD3F67"/>
    <w:rsid w:val="00CD739C"/>
    <w:rsid w:val="00CE3BE6"/>
    <w:rsid w:val="00CE6A6F"/>
    <w:rsid w:val="00CF6861"/>
    <w:rsid w:val="00D1569D"/>
    <w:rsid w:val="00D17B08"/>
    <w:rsid w:val="00D26798"/>
    <w:rsid w:val="00D36749"/>
    <w:rsid w:val="00D52CF9"/>
    <w:rsid w:val="00D60FF4"/>
    <w:rsid w:val="00D67A3B"/>
    <w:rsid w:val="00D75C7A"/>
    <w:rsid w:val="00DA74EC"/>
    <w:rsid w:val="00DC18D9"/>
    <w:rsid w:val="00DC37E6"/>
    <w:rsid w:val="00DC52F1"/>
    <w:rsid w:val="00DC76E1"/>
    <w:rsid w:val="00DD134E"/>
    <w:rsid w:val="00DE78E0"/>
    <w:rsid w:val="00DF0855"/>
    <w:rsid w:val="00DF7871"/>
    <w:rsid w:val="00E06BAC"/>
    <w:rsid w:val="00E14920"/>
    <w:rsid w:val="00E16DD3"/>
    <w:rsid w:val="00E17E72"/>
    <w:rsid w:val="00E2171D"/>
    <w:rsid w:val="00E23AE8"/>
    <w:rsid w:val="00E31B5C"/>
    <w:rsid w:val="00E3702C"/>
    <w:rsid w:val="00E428FA"/>
    <w:rsid w:val="00E42C87"/>
    <w:rsid w:val="00E5463C"/>
    <w:rsid w:val="00E56FA5"/>
    <w:rsid w:val="00E60ADF"/>
    <w:rsid w:val="00E67490"/>
    <w:rsid w:val="00E80591"/>
    <w:rsid w:val="00E81141"/>
    <w:rsid w:val="00E832CA"/>
    <w:rsid w:val="00E906B6"/>
    <w:rsid w:val="00E93C6E"/>
    <w:rsid w:val="00EA5216"/>
    <w:rsid w:val="00EB1A8F"/>
    <w:rsid w:val="00EB46AF"/>
    <w:rsid w:val="00EE2F09"/>
    <w:rsid w:val="00EE3602"/>
    <w:rsid w:val="00F0541E"/>
    <w:rsid w:val="00F137C0"/>
    <w:rsid w:val="00F17A60"/>
    <w:rsid w:val="00F204B2"/>
    <w:rsid w:val="00F24F61"/>
    <w:rsid w:val="00F30D15"/>
    <w:rsid w:val="00F3461E"/>
    <w:rsid w:val="00F42F48"/>
    <w:rsid w:val="00F71803"/>
    <w:rsid w:val="00F727D9"/>
    <w:rsid w:val="00F824F0"/>
    <w:rsid w:val="00FA7F34"/>
    <w:rsid w:val="00FC6891"/>
    <w:rsid w:val="00FD133C"/>
    <w:rsid w:val="00FD2739"/>
    <w:rsid w:val="00FD33D4"/>
    <w:rsid w:val="00FD40B9"/>
    <w:rsid w:val="00FD7779"/>
    <w:rsid w:val="00FE406A"/>
    <w:rsid w:val="00FE63D0"/>
    <w:rsid w:val="00FE7CA8"/>
    <w:rsid w:val="00FF4AE8"/>
    <w:rsid w:val="0F7C00A7"/>
    <w:rsid w:val="186224B9"/>
    <w:rsid w:val="21D016FE"/>
    <w:rsid w:val="3F5D760F"/>
    <w:rsid w:val="47D3B968"/>
    <w:rsid w:val="4B6B1204"/>
    <w:rsid w:val="525C6D74"/>
    <w:rsid w:val="56BE4D9D"/>
    <w:rsid w:val="5A5950C8"/>
    <w:rsid w:val="66075530"/>
    <w:rsid w:val="6B443E18"/>
    <w:rsid w:val="713C6B23"/>
    <w:rsid w:val="714A7226"/>
    <w:rsid w:val="77EE5333"/>
    <w:rsid w:val="7D9732E0"/>
    <w:rsid w:val="DF2FC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4">
    <w:name w:val="annotation text"/>
    <w:basedOn w:val="1"/>
    <w:link w:val="19"/>
    <w:semiHidden/>
    <w:unhideWhenUsed/>
    <w:qFormat/>
    <w:uiPriority w:val="99"/>
    <w:pPr>
      <w:jc w:val="left"/>
    </w:pPr>
  </w:style>
  <w:style w:type="paragraph" w:styleId="5">
    <w:name w:val="Date"/>
    <w:basedOn w:val="1"/>
    <w:next w:val="1"/>
    <w:link w:val="22"/>
    <w:qFormat/>
    <w:uiPriority w:val="0"/>
    <w:pPr>
      <w:ind w:left="100" w:leftChars="2500"/>
    </w:pPr>
    <w:rPr>
      <w:rFonts w:asciiTheme="minorHAnsi" w:hAnsiTheme="minorHAnsi" w:eastAsiaTheme="minorEastAsia" w:cstheme="minorBidi"/>
    </w:r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annotation subject"/>
    <w:basedOn w:val="4"/>
    <w:next w:val="4"/>
    <w:link w:val="20"/>
    <w:semiHidden/>
    <w:unhideWhenUsed/>
    <w:qFormat/>
    <w:uiPriority w:val="99"/>
    <w:rPr>
      <w:b/>
      <w:bCs/>
    </w:rPr>
  </w:style>
  <w:style w:type="character" w:styleId="13">
    <w:name w:val="page number"/>
    <w:basedOn w:val="12"/>
    <w:qFormat/>
    <w:uiPriority w:val="0"/>
  </w:style>
  <w:style w:type="character" w:styleId="14">
    <w:name w:val="FollowedHyperlink"/>
    <w:basedOn w:val="12"/>
    <w:semiHidden/>
    <w:unhideWhenUsed/>
    <w:qFormat/>
    <w:uiPriority w:val="99"/>
    <w:rPr>
      <w:color w:val="333333"/>
      <w:u w:val="none"/>
    </w:rPr>
  </w:style>
  <w:style w:type="character" w:styleId="15">
    <w:name w:val="Hyperlink"/>
    <w:basedOn w:val="12"/>
    <w:semiHidden/>
    <w:unhideWhenUsed/>
    <w:qFormat/>
    <w:uiPriority w:val="99"/>
    <w:rPr>
      <w:color w:val="333333"/>
      <w:u w:val="none"/>
    </w:rPr>
  </w:style>
  <w:style w:type="character" w:styleId="16">
    <w:name w:val="annotation reference"/>
    <w:basedOn w:val="12"/>
    <w:semiHidden/>
    <w:unhideWhenUsed/>
    <w:qFormat/>
    <w:uiPriority w:val="99"/>
    <w:rPr>
      <w:sz w:val="21"/>
      <w:szCs w:val="21"/>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批注文字 Char"/>
    <w:basedOn w:val="12"/>
    <w:link w:val="4"/>
    <w:semiHidden/>
    <w:qFormat/>
    <w:uiPriority w:val="99"/>
    <w:rPr>
      <w:rFonts w:ascii="Times New Roman" w:hAnsi="Times New Roman" w:eastAsia="宋体" w:cs="Times New Roman"/>
      <w:szCs w:val="24"/>
    </w:rPr>
  </w:style>
  <w:style w:type="character" w:customStyle="1" w:styleId="20">
    <w:name w:val="批注主题 Char"/>
    <w:basedOn w:val="19"/>
    <w:link w:val="10"/>
    <w:semiHidden/>
    <w:qFormat/>
    <w:uiPriority w:val="99"/>
    <w:rPr>
      <w:rFonts w:ascii="Times New Roman" w:hAnsi="Times New Roman" w:eastAsia="宋体" w:cs="Times New Roman"/>
      <w:b/>
      <w:bCs/>
      <w:szCs w:val="24"/>
    </w:rPr>
  </w:style>
  <w:style w:type="character" w:customStyle="1" w:styleId="21">
    <w:name w:val="批注框文本 Char"/>
    <w:basedOn w:val="12"/>
    <w:link w:val="6"/>
    <w:semiHidden/>
    <w:qFormat/>
    <w:uiPriority w:val="99"/>
    <w:rPr>
      <w:rFonts w:ascii="Times New Roman" w:hAnsi="Times New Roman" w:eastAsia="宋体" w:cs="Times New Roman"/>
      <w:sz w:val="18"/>
      <w:szCs w:val="18"/>
    </w:rPr>
  </w:style>
  <w:style w:type="character" w:customStyle="1" w:styleId="22">
    <w:name w:val="日期 Char"/>
    <w:link w:val="5"/>
    <w:qFormat/>
    <w:uiPriority w:val="0"/>
    <w:rPr>
      <w:szCs w:val="24"/>
    </w:rPr>
  </w:style>
  <w:style w:type="character" w:customStyle="1" w:styleId="23">
    <w:name w:val="日期 Char1"/>
    <w:basedOn w:val="12"/>
    <w:semiHidden/>
    <w:qFormat/>
    <w:uiPriority w:val="99"/>
    <w:rPr>
      <w:rFonts w:ascii="Times New Roman" w:hAnsi="Times New Roman" w:eastAsia="宋体" w:cs="Times New Roman"/>
      <w:szCs w:val="24"/>
    </w:rPr>
  </w:style>
  <w:style w:type="paragraph" w:styleId="24">
    <w:name w:val="List Paragraph"/>
    <w:basedOn w:val="1"/>
    <w:qFormat/>
    <w:uiPriority w:val="0"/>
    <w:pPr>
      <w:ind w:firstLine="420" w:firstLineChars="200"/>
    </w:pPr>
  </w:style>
  <w:style w:type="character" w:customStyle="1" w:styleId="25">
    <w:name w:val="标题 2 Char"/>
    <w:basedOn w:val="12"/>
    <w:link w:val="2"/>
    <w:qFormat/>
    <w:uiPriority w:val="0"/>
    <w:rPr>
      <w:rFonts w:ascii="Arial" w:hAnsi="Arial" w:eastAsia="黑体" w:cs="Times New Roman"/>
      <w:b/>
      <w:bCs/>
      <w:sz w:val="32"/>
      <w:szCs w:val="32"/>
    </w:rPr>
  </w:style>
  <w:style w:type="paragraph" w:styleId="2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表格"/>
    <w:basedOn w:val="1"/>
    <w:qFormat/>
    <w:uiPriority w:val="0"/>
    <w:pPr>
      <w:adjustRightInd w:val="0"/>
      <w:snapToGrid w:val="0"/>
      <w:jc w:val="center"/>
    </w:pPr>
    <w:rPr>
      <w:rFonts w:ascii="仿宋_GB2312"/>
      <w:color w:val="000000"/>
      <w:kern w:val="0"/>
    </w:rPr>
  </w:style>
  <w:style w:type="paragraph" w:customStyle="1" w:styleId="28">
    <w:name w:val="公文"/>
    <w:basedOn w:val="1"/>
    <w:qFormat/>
    <w:uiPriority w:val="0"/>
    <w:pPr>
      <w:widowControl/>
      <w:adjustRightInd w:val="0"/>
      <w:snapToGrid w:val="0"/>
      <w:spacing w:beforeLines="25" w:afterLines="35"/>
      <w:ind w:firstLine="200" w:firstLineChars="200"/>
      <w:jc w:val="left"/>
    </w:pPr>
    <w:rPr>
      <w:rFonts w:ascii="仿宋_GB2312" w:hAnsi="Calibri" w:eastAsia="仿宋_GB2312"/>
      <w:bCs/>
      <w:kern w:val="0"/>
      <w:sz w:val="32"/>
    </w:rPr>
  </w:style>
  <w:style w:type="character" w:customStyle="1" w:styleId="29">
    <w:name w:val="layui-this"/>
    <w:basedOn w:val="12"/>
    <w:qFormat/>
    <w:uiPriority w:val="0"/>
    <w:rPr>
      <w:bdr w:val="single" w:color="EEEEEE" w:sz="6" w:space="0"/>
      <w:shd w:val="clear" w:fill="FFFFFF"/>
    </w:rPr>
  </w:style>
  <w:style w:type="character" w:customStyle="1" w:styleId="30">
    <w:name w:val="first-child"/>
    <w:basedOn w:val="12"/>
    <w:qFormat/>
    <w:uiPriority w:val="0"/>
  </w:style>
  <w:style w:type="character" w:customStyle="1" w:styleId="31">
    <w:name w:val="layui-laypage-curr"/>
    <w:basedOn w:val="12"/>
    <w:qFormat/>
    <w:uiPriority w:val="0"/>
  </w:style>
  <w:style w:type="character" w:customStyle="1" w:styleId="32">
    <w:name w:val="hover13"/>
    <w:basedOn w:val="12"/>
    <w:qFormat/>
    <w:uiPriority w:val="0"/>
    <w:rPr>
      <w:color w:val="5FB878"/>
    </w:rPr>
  </w:style>
  <w:style w:type="character" w:customStyle="1" w:styleId="33">
    <w:name w:val="hover14"/>
    <w:basedOn w:val="12"/>
    <w:qFormat/>
    <w:uiPriority w:val="0"/>
    <w:rPr>
      <w:color w:val="5FB878"/>
    </w:rPr>
  </w:style>
  <w:style w:type="character" w:customStyle="1" w:styleId="34">
    <w:name w:val="hover15"/>
    <w:basedOn w:val="12"/>
    <w:qFormat/>
    <w:uiPriority w:val="0"/>
    <w:rPr>
      <w:color w:val="FFFFFF"/>
    </w:rPr>
  </w:style>
  <w:style w:type="character" w:customStyle="1" w:styleId="35">
    <w:name w:val="layui-laydate-preview"/>
    <w:basedOn w:val="1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6143</Words>
  <Characters>6437</Characters>
  <Lines>48</Lines>
  <Paragraphs>13</Paragraphs>
  <TotalTime>0</TotalTime>
  <ScaleCrop>false</ScaleCrop>
  <LinksUpToDate>false</LinksUpToDate>
  <CharactersWithSpaces>6495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2018-08-22T17:15:00Z</dcterms:created>
  <dc:creator>chengse</dc:creator>
  <cp:lastModifiedBy>gaoyw</cp:lastModifiedBy>
  <cp:lastPrinted>2019-12-25T14:07:00Z</cp:lastPrinted>
  <dcterms:modified xsi:type="dcterms:W3CDTF">2022-12-15T16:58:44Z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977D0CD017ED4C35982BFA52335366C3</vt:lpwstr>
  </property>
</Properties>
</file>