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auto"/>
          <w:sz w:val="44"/>
          <w:szCs w:val="44"/>
        </w:rPr>
      </w:pPr>
      <w:bookmarkStart w:id="458" w:name="_GoBack"/>
      <w:bookmarkEnd w:id="458"/>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深圳市龙岗区图书馆总分馆服务体系项目</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绩效评价报告</w:t>
      </w:r>
    </w:p>
    <w:p>
      <w:pPr>
        <w:keepNext w:val="0"/>
        <w:keepLines w:val="0"/>
        <w:pageBreakBefore w:val="0"/>
        <w:widowControl/>
        <w:kinsoku/>
        <w:wordWrap/>
        <w:overflowPunct/>
        <w:topLinePunct w:val="0"/>
        <w:autoSpaceDE/>
        <w:autoSpaceDN/>
        <w:bidi w:val="0"/>
        <w:spacing w:line="560" w:lineRule="exact"/>
        <w:textAlignment w:val="auto"/>
        <w:rPr>
          <w:rFonts w:ascii="Times New Roman" w:hAnsi="Times New Roman" w:cs="Times New Roman"/>
          <w:color w:val="auto"/>
        </w:rPr>
      </w:pPr>
    </w:p>
    <w:p>
      <w:pPr>
        <w:pStyle w:val="26"/>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cs="Times New Roman"/>
          <w:b w:val="0"/>
          <w:color w:val="auto"/>
        </w:rPr>
      </w:pPr>
      <w:bookmarkStart w:id="0" w:name="_Toc16797"/>
      <w:bookmarkStart w:id="1" w:name="_Toc9848"/>
      <w:bookmarkStart w:id="2" w:name="_Toc25735"/>
      <w:bookmarkStart w:id="3" w:name="_Toc20471"/>
      <w:bookmarkStart w:id="4" w:name="_Toc7905"/>
      <w:bookmarkStart w:id="5" w:name="_Toc8422"/>
      <w:bookmarkStart w:id="6" w:name="_Toc22422"/>
      <w:bookmarkStart w:id="7" w:name="_Toc6824"/>
      <w:bookmarkStart w:id="8" w:name="_Toc9327"/>
      <w:bookmarkStart w:id="9" w:name="_Toc28253"/>
      <w:bookmarkStart w:id="10" w:name="_Toc106792900"/>
      <w:bookmarkStart w:id="11" w:name="_Toc28956"/>
      <w:bookmarkStart w:id="12" w:name="_Toc19444"/>
      <w:bookmarkStart w:id="13" w:name="_Toc11812"/>
      <w:bookmarkStart w:id="14" w:name="_Toc13571"/>
      <w:bookmarkStart w:id="15" w:name="_Toc590"/>
      <w:bookmarkStart w:id="16" w:name="_Toc12729"/>
      <w:bookmarkStart w:id="17" w:name="_Toc31973"/>
      <w:bookmarkStart w:id="18" w:name="_Toc21392"/>
      <w:bookmarkStart w:id="19" w:name="_Toc31996"/>
      <w:bookmarkStart w:id="20" w:name="_Toc5321"/>
      <w:bookmarkStart w:id="21" w:name="_Toc9375"/>
      <w:bookmarkStart w:id="22" w:name="_Toc28024"/>
      <w:bookmarkStart w:id="23" w:name="_Toc10234"/>
      <w:r>
        <w:rPr>
          <w:rFonts w:cs="Times New Roman"/>
          <w:b w:val="0"/>
          <w:color w:val="auto"/>
        </w:rPr>
        <w:t>一、基本情况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15"/>
        <w:keepNext w:val="0"/>
        <w:keepLines w:val="0"/>
        <w:pageBreakBefore w:val="0"/>
        <w:widowControl/>
        <w:tabs>
          <w:tab w:val="right" w:leader="dot" w:pos="8296"/>
        </w:tabs>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本项目由龙岗区文化广电旅游体育局进行预算编报，主要用于购买图书馆总分馆一体化服务，加强对各街道分馆和区域分馆人、财、物的统管力度。</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eastAsia="zh-CN"/>
        </w:rPr>
        <w:t>本项目2019</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2021年度年初预算数为4,845.1万元，调整后预算数为5,152.38万元，实际支出数为5,141.48万元，执行率为</w:t>
      </w:r>
      <w:r>
        <w:rPr>
          <w:rFonts w:hint="eastAsia" w:ascii="仿宋_GB2312" w:hAnsi="仿宋_GB2312" w:eastAsia="仿宋_GB2312" w:cs="仿宋_GB2312"/>
          <w:color w:val="auto"/>
          <w:sz w:val="32"/>
          <w:szCs w:val="32"/>
          <w:lang w:val="en-US" w:eastAsia="zh-CN"/>
        </w:rPr>
        <w:t>99.79%</w:t>
      </w:r>
      <w:r>
        <w:rPr>
          <w:rFonts w:hint="eastAsia" w:ascii="仿宋_GB2312" w:hAnsi="仿宋_GB2312" w:eastAsia="仿宋_GB2312" w:cs="仿宋_GB2312"/>
          <w:color w:val="auto"/>
          <w:sz w:val="32"/>
          <w:szCs w:val="32"/>
          <w:lang w:eastAsia="zh-CN"/>
        </w:rPr>
        <w:t>。经综合评价，本项目绩效评价得分为</w:t>
      </w:r>
      <w:r>
        <w:rPr>
          <w:rFonts w:hint="eastAsia" w:ascii="仿宋_GB2312" w:hAnsi="仿宋_GB2312" w:eastAsia="仿宋_GB2312" w:cs="仿宋_GB2312"/>
          <w:color w:val="auto"/>
          <w:sz w:val="32"/>
          <w:szCs w:val="32"/>
          <w:lang w:val="en-US" w:eastAsia="zh-CN"/>
        </w:rPr>
        <w:t>83.24</w:t>
      </w:r>
      <w:r>
        <w:rPr>
          <w:rFonts w:hint="eastAsia" w:ascii="仿宋_GB2312" w:hAnsi="仿宋_GB2312" w:eastAsia="仿宋_GB2312" w:cs="仿宋_GB2312"/>
          <w:color w:val="auto"/>
          <w:sz w:val="32"/>
          <w:szCs w:val="32"/>
          <w:lang w:eastAsia="zh-CN"/>
        </w:rPr>
        <w:t>分，等级为“良”。</w:t>
      </w:r>
    </w:p>
    <w:p>
      <w:pPr>
        <w:pStyle w:val="26"/>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cs="Times New Roman"/>
          <w:b w:val="0"/>
          <w:color w:val="auto"/>
        </w:rPr>
      </w:pPr>
      <w:bookmarkStart w:id="24" w:name="_Toc25207"/>
      <w:bookmarkStart w:id="25" w:name="_Toc13992"/>
      <w:bookmarkStart w:id="26" w:name="_Toc5091"/>
      <w:bookmarkStart w:id="27" w:name="_Toc21737"/>
      <w:bookmarkStart w:id="28" w:name="_Toc7363"/>
      <w:bookmarkStart w:id="29" w:name="_Toc10129"/>
      <w:bookmarkStart w:id="30" w:name="_Toc23345"/>
      <w:bookmarkStart w:id="31" w:name="_Toc18084"/>
      <w:bookmarkStart w:id="32" w:name="_Toc30690"/>
      <w:bookmarkStart w:id="33" w:name="_Toc4397"/>
      <w:bookmarkStart w:id="34" w:name="_Toc20059"/>
      <w:bookmarkStart w:id="35" w:name="_Toc11668"/>
      <w:bookmarkStart w:id="36" w:name="_Toc106792913"/>
      <w:bookmarkStart w:id="37" w:name="_Toc23643"/>
      <w:bookmarkStart w:id="38" w:name="_Toc19537"/>
      <w:bookmarkStart w:id="39" w:name="_Toc23544"/>
      <w:bookmarkStart w:id="40" w:name="_Toc20982"/>
      <w:bookmarkStart w:id="41" w:name="_Toc19490"/>
      <w:bookmarkStart w:id="42" w:name="_Toc28159"/>
      <w:bookmarkStart w:id="43" w:name="_Toc20245"/>
      <w:bookmarkStart w:id="44" w:name="_Toc690"/>
      <w:bookmarkStart w:id="45" w:name="_Toc28700"/>
      <w:bookmarkStart w:id="46" w:name="_Toc13430"/>
      <w:bookmarkStart w:id="47" w:name="_Toc30414"/>
      <w:r>
        <w:rPr>
          <w:rFonts w:hint="eastAsia" w:cs="Times New Roman"/>
          <w:b w:val="0"/>
          <w:color w:val="auto"/>
          <w:lang w:eastAsia="zh-CN"/>
        </w:rPr>
        <w:t>二</w:t>
      </w:r>
      <w:r>
        <w:rPr>
          <w:rFonts w:cs="Times New Roman"/>
          <w:b w:val="0"/>
          <w:color w:val="auto"/>
        </w:rPr>
        <w:t>、主要成效</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48" w:name="_Toc8887"/>
      <w:bookmarkStart w:id="49" w:name="_Toc21815"/>
      <w:bookmarkStart w:id="50" w:name="_Toc25447"/>
      <w:bookmarkStart w:id="51" w:name="_Toc1536"/>
      <w:bookmarkStart w:id="52" w:name="_Toc106792914"/>
      <w:bookmarkStart w:id="53" w:name="_Toc26879"/>
      <w:bookmarkStart w:id="54" w:name="_Toc12613"/>
      <w:bookmarkStart w:id="55" w:name="_Toc22066"/>
      <w:bookmarkStart w:id="56" w:name="_Toc20832"/>
      <w:bookmarkStart w:id="57" w:name="_Toc17646"/>
      <w:bookmarkStart w:id="58" w:name="_Toc17462"/>
      <w:bookmarkStart w:id="59" w:name="_Toc14713"/>
      <w:bookmarkStart w:id="60" w:name="_Toc21388"/>
      <w:bookmarkStart w:id="61" w:name="_Toc16403"/>
      <w:bookmarkStart w:id="62" w:name="_Toc18024"/>
      <w:bookmarkStart w:id="63" w:name="_Toc21663"/>
      <w:bookmarkStart w:id="64" w:name="_Toc28571"/>
      <w:bookmarkStart w:id="65" w:name="_Toc32057"/>
      <w:bookmarkStart w:id="66" w:name="_Toc19295"/>
      <w:bookmarkStart w:id="67" w:name="_Toc6502"/>
      <w:bookmarkStart w:id="68" w:name="_Toc18114"/>
      <w:bookmarkStart w:id="69" w:name="_Toc29590"/>
      <w:bookmarkStart w:id="70" w:name="_Toc1925"/>
      <w:bookmarkStart w:id="71" w:name="_Toc9711"/>
      <w:r>
        <w:rPr>
          <w:rFonts w:cs="Times New Roman"/>
          <w:b w:val="0"/>
          <w:bCs/>
          <w:color w:val="auto"/>
        </w:rPr>
        <w:t>（一）实行总分馆一体化垂直管理，基层图书馆服务效能有效提升</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9"/>
        <w:keepNext w:val="0"/>
        <w:keepLines w:val="0"/>
        <w:pageBreakBefore w:val="0"/>
        <w:widowControl/>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从直属分馆数量来看，</w:t>
      </w:r>
      <w:r>
        <w:rPr>
          <w:rFonts w:hint="eastAsia" w:ascii="仿宋_GB2312" w:hAnsi="仿宋_GB2312" w:eastAsia="仿宋_GB2312" w:cs="仿宋_GB2312"/>
          <w:color w:val="auto"/>
          <w:sz w:val="32"/>
          <w:szCs w:val="32"/>
        </w:rPr>
        <w:t>总分馆一体化建设按照每年的年度目标稳步推进，2019年5月，首批18个分馆采用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购买服务、委托运营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形式实现垂直管理。2020年1月，由于18个分馆服务效益显著，经区文化广电旅游体育局领导批准，第二批9个分馆纳入总分馆一体化垂直管理，纳入图书馆总分馆一体化管理的分馆共27个。2021年3月，由于三个标段27分馆服务效益显著，纳入图书馆总分馆一体化管理的分馆共37个。</w:t>
      </w:r>
    </w:p>
    <w:p>
      <w:pPr>
        <w:pStyle w:val="9"/>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从开放时间来看，</w:t>
      </w: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z w:val="32"/>
          <w:szCs w:val="32"/>
        </w:rPr>
        <w:t>018年分馆每周平均开放时间为47.2小时，2019年实行总分馆一体化垂直化管理后，开放时间延长到69.8小时，增长47.88%。2021年达到71.69小时，平均每天10.24小时。</w:t>
      </w:r>
    </w:p>
    <w:p>
      <w:pPr>
        <w:pStyle w:val="9"/>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rPr>
        <w:t>从分馆服务数据总量来看，服务效能增速明显。</w:t>
      </w:r>
      <w:r>
        <w:rPr>
          <w:rFonts w:hint="eastAsia" w:ascii="仿宋_GB2312" w:hAnsi="仿宋_GB2312" w:eastAsia="仿宋_GB2312" w:cs="仿宋_GB2312"/>
          <w:color w:val="auto"/>
          <w:sz w:val="32"/>
          <w:szCs w:val="32"/>
        </w:rPr>
        <w:t>2019年5月，龙岗区正式实行总分馆一体化垂直管理，基层图书馆服务效能显著提升。2019年外借量达72.9万册，是2018年的1.93倍。2020年，虽然遭受疫情严重影响，各分馆全年总外借量仍达95.27万册次，是2019年的1.3倍。 2021年，各分馆的读者接待量178.13万人次，图书外借量192.14万册次，新办借书证3.13万个，举办阅读推广活动1,395场，阅读推广参与人次4.29万，志愿者服务30,730.6小时</w:t>
      </w:r>
      <w:bookmarkStart w:id="72" w:name="_Toc16040"/>
      <w:bookmarkStart w:id="73" w:name="_Toc26830"/>
      <w:bookmarkStart w:id="74" w:name="_Toc26411"/>
      <w:bookmarkStart w:id="75" w:name="_Toc11538"/>
      <w:bookmarkStart w:id="76" w:name="_Toc20341"/>
      <w:bookmarkStart w:id="77" w:name="_Toc2114"/>
      <w:bookmarkStart w:id="78" w:name="_Toc28229"/>
      <w:bookmarkStart w:id="79" w:name="_Toc106792915"/>
      <w:bookmarkStart w:id="80" w:name="_Toc24243"/>
      <w:bookmarkStart w:id="81" w:name="_Toc1120"/>
      <w:bookmarkStart w:id="82" w:name="_Toc7841"/>
      <w:bookmarkStart w:id="83" w:name="_Toc20737"/>
      <w:bookmarkStart w:id="84" w:name="_Toc1217"/>
      <w:bookmarkStart w:id="85" w:name="_Toc5717"/>
      <w:bookmarkStart w:id="86" w:name="_Toc8018"/>
      <w:bookmarkStart w:id="87" w:name="_Toc26678"/>
      <w:bookmarkStart w:id="88" w:name="_Toc12169"/>
      <w:bookmarkStart w:id="89" w:name="_Toc25506"/>
      <w:bookmarkStart w:id="90" w:name="_Toc32305"/>
      <w:bookmarkStart w:id="91" w:name="_Toc10472"/>
      <w:bookmarkStart w:id="92" w:name="_Toc4765"/>
      <w:bookmarkStart w:id="93" w:name="_Toc29780"/>
      <w:bookmarkStart w:id="94" w:name="_Toc24759"/>
      <w:bookmarkStart w:id="95" w:name="_Toc15600"/>
      <w:r>
        <w:rPr>
          <w:rFonts w:hint="eastAsia" w:ascii="仿宋_GB2312" w:hAnsi="仿宋_GB2312" w:eastAsia="仿宋_GB2312" w:cs="仿宋_GB2312"/>
          <w:color w:val="auto"/>
          <w:sz w:val="32"/>
          <w:szCs w:val="32"/>
          <w:lang w:eastAsia="zh-CN"/>
        </w:rPr>
        <w:t>。</w:t>
      </w:r>
    </w:p>
    <w:p>
      <w:pPr>
        <w:pStyle w:val="9"/>
        <w:keepNext w:val="0"/>
        <w:keepLines w:val="0"/>
        <w:pageBreakBefore w:val="0"/>
        <w:widowControl/>
        <w:kinsoku/>
        <w:wordWrap/>
        <w:overflowPunct/>
        <w:topLinePunct w:val="0"/>
        <w:autoSpaceDE/>
        <w:autoSpaceDN/>
        <w:bidi w:val="0"/>
        <w:spacing w:line="560" w:lineRule="exact"/>
        <w:ind w:firstLine="640" w:firstLineChars="200"/>
        <w:textAlignment w:val="auto"/>
        <w:rPr>
          <w:rFonts w:ascii="Times New Roman" w:hAnsi="Times New Roman" w:eastAsia="楷体_GB2312" w:cs="Times New Roman"/>
          <w:b w:val="0"/>
          <w:bCs/>
          <w:color w:val="auto"/>
          <w:kern w:val="2"/>
          <w:sz w:val="32"/>
          <w:szCs w:val="32"/>
          <w:lang w:val="en-US" w:eastAsia="zh-CN" w:bidi="ar-SA"/>
        </w:rPr>
      </w:pPr>
      <w:r>
        <w:rPr>
          <w:rFonts w:ascii="Times New Roman" w:hAnsi="Times New Roman" w:eastAsia="楷体_GB2312" w:cs="Times New Roman"/>
          <w:b w:val="0"/>
          <w:bCs/>
          <w:color w:val="auto"/>
          <w:kern w:val="2"/>
          <w:sz w:val="32"/>
          <w:szCs w:val="32"/>
          <w:lang w:val="en-US" w:eastAsia="zh-CN" w:bidi="ar-SA"/>
        </w:rPr>
        <w:t>（二）有效盘活馆藏资源，图书馆利用率提升</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keepNext w:val="0"/>
        <w:keepLines w:val="0"/>
        <w:pageBreakBefore w:val="0"/>
        <w:widowControl/>
        <w:kinsoku/>
        <w:wordWrap/>
        <w:overflowPunct/>
        <w:topLinePunct w:val="0"/>
        <w:autoSpaceDE/>
        <w:autoSpaceDN/>
        <w:bidi w:val="0"/>
        <w:adjustRightInd/>
        <w:snapToGrid/>
        <w:spacing w:line="560" w:lineRule="exact"/>
        <w:ind w:firstLineChars="200"/>
        <w:textAlignment w:val="auto"/>
        <w:rPr>
          <w:rFonts w:hint="eastAsia" w:ascii="仿宋_GB2312" w:hAnsi="仿宋_GB2312" w:eastAsia="仿宋_GB2312" w:cs="仿宋_GB2312"/>
          <w:b/>
          <w:bCs/>
          <w:color w:val="auto"/>
          <w:sz w:val="32"/>
          <w:szCs w:val="32"/>
        </w:rPr>
      </w:pPr>
      <w:bookmarkStart w:id="96" w:name="_Toc1302"/>
      <w:bookmarkStart w:id="97" w:name="_Toc13444"/>
      <w:r>
        <w:rPr>
          <w:rFonts w:hint="eastAsia" w:ascii="仿宋_GB2312" w:hAnsi="仿宋_GB2312" w:eastAsia="仿宋_GB2312" w:cs="仿宋_GB2312"/>
          <w:b/>
          <w:bCs/>
          <w:color w:val="auto"/>
          <w:sz w:val="32"/>
          <w:szCs w:val="32"/>
        </w:rPr>
        <w:t>1.有效盘活馆藏资源</w:t>
      </w:r>
      <w:bookmarkEnd w:id="96"/>
      <w:bookmarkEnd w:id="97"/>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从前总分馆制存在重建设轻管理的现象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分馆的场地、设备、人员由共建方提供，图书报刊、自助设备由总馆投入，多头管理，后续投入不易协调。</w:t>
      </w:r>
      <w:r>
        <w:rPr>
          <w:rFonts w:hint="eastAsia" w:ascii="仿宋_GB2312" w:hAnsi="仿宋_GB2312" w:eastAsia="仿宋_GB2312" w:cs="仿宋_GB2312"/>
          <w:color w:val="auto"/>
          <w:sz w:val="32"/>
          <w:szCs w:val="32"/>
          <w:lang w:val="en-US" w:eastAsia="zh-CN"/>
        </w:rPr>
        <w:t>分馆</w:t>
      </w:r>
      <w:r>
        <w:rPr>
          <w:rFonts w:hint="eastAsia" w:ascii="仿宋_GB2312" w:hAnsi="仿宋_GB2312" w:eastAsia="仿宋_GB2312" w:cs="仿宋_GB2312"/>
          <w:color w:val="auto"/>
          <w:sz w:val="32"/>
          <w:szCs w:val="32"/>
        </w:rPr>
        <w:t>共建方管理人员流动频繁，总分馆沟通</w:t>
      </w:r>
      <w:r>
        <w:rPr>
          <w:rFonts w:hint="eastAsia" w:ascii="仿宋_GB2312" w:hAnsi="仿宋_GB2312" w:eastAsia="仿宋_GB2312" w:cs="仿宋_GB2312"/>
          <w:color w:val="auto"/>
          <w:sz w:val="32"/>
          <w:szCs w:val="32"/>
          <w:lang w:val="en-US" w:eastAsia="zh-CN"/>
        </w:rPr>
        <w:t>不畅，服务效能较低，</w:t>
      </w:r>
      <w:r>
        <w:rPr>
          <w:rFonts w:hint="eastAsia" w:ascii="仿宋_GB2312" w:hAnsi="仿宋_GB2312" w:eastAsia="仿宋_GB2312" w:cs="仿宋_GB2312"/>
          <w:color w:val="auto"/>
          <w:sz w:val="32"/>
          <w:szCs w:val="32"/>
        </w:rPr>
        <w:t>近年来已先后</w:t>
      </w:r>
      <w:r>
        <w:rPr>
          <w:rFonts w:hint="eastAsia" w:ascii="仿宋_GB2312" w:hAnsi="仿宋_GB2312" w:eastAsia="仿宋_GB2312" w:cs="仿宋_GB2312"/>
          <w:color w:val="auto"/>
          <w:sz w:val="32"/>
          <w:szCs w:val="32"/>
          <w:lang w:val="en-US" w:eastAsia="zh-CN"/>
        </w:rPr>
        <w:t>撤</w:t>
      </w:r>
      <w:r>
        <w:rPr>
          <w:rFonts w:hint="eastAsia" w:ascii="仿宋_GB2312" w:hAnsi="仿宋_GB2312" w:eastAsia="仿宋_GB2312" w:cs="仿宋_GB2312"/>
          <w:color w:val="auto"/>
          <w:sz w:val="32"/>
          <w:szCs w:val="32"/>
        </w:rPr>
        <w:t>销2个分馆。社区图书馆形势更为严峻，无后续运营经费，资源条件和服务手段滞后，读者流失现象严重。总分馆一体化垂直管理后，从单个分馆服务数据来看，以28个分馆纸质图书外借量为例（不含2021年新增分馆），所有分馆2018</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2021年年均增长率超过20%，一半分馆年均增长率超过100%，远远高于馆藏资源增长率。</w:t>
      </w:r>
      <w:r>
        <w:rPr>
          <w:rFonts w:hint="eastAsia" w:ascii="仿宋_GB2312" w:hAnsi="仿宋_GB2312" w:eastAsia="仿宋_GB2312" w:cs="仿宋_GB2312"/>
          <w:color w:val="auto"/>
          <w:sz w:val="32"/>
          <w:szCs w:val="32"/>
          <w:lang w:val="en-US" w:eastAsia="zh-CN"/>
        </w:rPr>
        <w:t>例如，吉厦社区分馆2018年纸质图书外借量仅为756本，2021年纸质图书外借量达到52,749本，纸质图书外借量年均增长率为311.68%，而馆藏资源年均增长率为31.08%。</w:t>
      </w:r>
      <w:r>
        <w:rPr>
          <w:rFonts w:hint="eastAsia" w:ascii="仿宋_GB2312" w:hAnsi="仿宋_GB2312" w:eastAsia="仿宋_GB2312" w:cs="仿宋_GB2312"/>
          <w:color w:val="auto"/>
          <w:sz w:val="32"/>
          <w:szCs w:val="32"/>
        </w:rPr>
        <w:t>说明在馆藏图书资源未大幅增加的情况下，原来的图书资源得到有效盘活，图书馆利用率提升</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Chars="200"/>
        <w:textAlignment w:val="auto"/>
        <w:rPr>
          <w:rFonts w:hint="eastAsia" w:ascii="仿宋_GB2312" w:hAnsi="仿宋_GB2312" w:eastAsia="仿宋_GB2312" w:cs="仿宋_GB2312"/>
          <w:b/>
          <w:bCs/>
          <w:color w:val="auto"/>
          <w:sz w:val="32"/>
          <w:szCs w:val="32"/>
        </w:rPr>
      </w:pPr>
      <w:bookmarkStart w:id="98" w:name="_Toc9242"/>
      <w:bookmarkStart w:id="99" w:name="_Toc16245"/>
      <w:r>
        <w:rPr>
          <w:rFonts w:hint="eastAsia" w:ascii="仿宋_GB2312" w:hAnsi="仿宋_GB2312" w:eastAsia="仿宋_GB2312" w:cs="仿宋_GB2312"/>
          <w:b/>
          <w:bCs/>
          <w:color w:val="auto"/>
          <w:sz w:val="32"/>
          <w:szCs w:val="32"/>
        </w:rPr>
        <w:t>2.分馆服务数据跃居全市第一</w:t>
      </w:r>
      <w:bookmarkEnd w:id="98"/>
      <w:bookmarkEnd w:id="99"/>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龙岗区图书馆尚未实施总分馆一体化管理。在全年借阅量方面，宝安区图书馆各分馆59.65万册次，全市第一；福田区图书馆各分馆54.01万册次，全市第二；龙岗区图书馆各分馆37.83万册次，全市仅排第三，且离宝安区、福田区差距较大。</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2019年1月，宝安区图书馆开始实施总分馆一体化管理。2019年5月，龙岗区图书馆开始实施总分馆一体化管理，首批</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18个分馆纳入。在全年借阅量方面，宝安区图书馆各分馆99.61万册次，全市第一；龙岗区图书馆各分馆72.90万册次，超越福田区图书馆名列全市第二，且与宝安区差距缩小。</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2020年，虽然遭受疫情影响，龙岗区图书馆加大投入总分馆一体化管理，共27个分馆纳入。在全年借阅量方面，龙岗区图书馆各分馆95.27万册次，正式超越宝安区图书馆名列全市第一。</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2021年，龙岗区图书馆继续加大投入总分馆一体化管理，共37个分馆纳入。在全年借阅量方面，龙岗区图书馆各分馆192.14万册次，全市第一，与宝安区拉开了距离</w:t>
      </w:r>
      <w:r>
        <w:rPr>
          <w:rFonts w:hint="eastAsia" w:ascii="仿宋_GB2312" w:hAnsi="仿宋_GB2312" w:eastAsia="仿宋_GB2312" w:cs="仿宋_GB2312"/>
          <w:color w:val="auto"/>
          <w:sz w:val="32"/>
          <w:szCs w:val="32"/>
          <w:lang w:eastAsia="zh-CN"/>
        </w:rPr>
        <w:t>。</w:t>
      </w:r>
      <w:bookmarkStart w:id="100" w:name="_Toc106792916"/>
      <w:bookmarkStart w:id="101" w:name="_Toc328"/>
      <w:bookmarkStart w:id="102" w:name="_Toc29742"/>
      <w:bookmarkStart w:id="103" w:name="_Toc7517"/>
      <w:bookmarkStart w:id="104" w:name="_Toc27280"/>
      <w:bookmarkStart w:id="105" w:name="_Toc12987"/>
      <w:bookmarkStart w:id="106" w:name="_Toc9121"/>
      <w:bookmarkStart w:id="107" w:name="_Toc17695"/>
      <w:bookmarkStart w:id="108" w:name="_Toc23330"/>
      <w:bookmarkStart w:id="109" w:name="_Toc26684"/>
      <w:bookmarkStart w:id="110" w:name="_Toc2094"/>
      <w:bookmarkStart w:id="111" w:name="_Toc2648"/>
      <w:bookmarkStart w:id="112" w:name="_Toc9695"/>
      <w:bookmarkStart w:id="113" w:name="_Toc31913"/>
      <w:bookmarkStart w:id="114" w:name="_Toc24803"/>
      <w:bookmarkStart w:id="115" w:name="_Toc19353"/>
      <w:bookmarkStart w:id="116" w:name="_Toc14292"/>
      <w:bookmarkStart w:id="117" w:name="_Toc27806"/>
      <w:bookmarkStart w:id="118" w:name="_Toc28567"/>
      <w:bookmarkStart w:id="119" w:name="_Toc3793"/>
      <w:bookmarkStart w:id="120" w:name="_Toc22787"/>
      <w:bookmarkStart w:id="121" w:name="_Toc31428"/>
      <w:bookmarkStart w:id="122" w:name="_Toc679"/>
      <w:bookmarkStart w:id="123" w:name="_Toc20359"/>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color w:val="auto"/>
          <w:kern w:val="2"/>
          <w:sz w:val="32"/>
          <w:szCs w:val="32"/>
          <w:lang w:val="en-US" w:eastAsia="zh-CN" w:bidi="ar-SA"/>
        </w:rPr>
      </w:pPr>
      <w:r>
        <w:rPr>
          <w:rFonts w:ascii="Times New Roman" w:hAnsi="Times New Roman" w:eastAsia="楷体_GB2312" w:cs="Times New Roman"/>
          <w:b w:val="0"/>
          <w:bCs/>
          <w:color w:val="auto"/>
          <w:kern w:val="2"/>
          <w:sz w:val="32"/>
          <w:szCs w:val="32"/>
          <w:lang w:val="en-US" w:eastAsia="zh-CN" w:bidi="ar-SA"/>
        </w:rPr>
        <w:t>（三）读者满意度较高</w:t>
      </w:r>
      <w:bookmarkEnd w:id="100"/>
      <w:r>
        <w:rPr>
          <w:rFonts w:hint="eastAsia" w:ascii="Times New Roman" w:hAnsi="Times New Roman" w:eastAsia="楷体_GB2312" w:cs="Times New Roman"/>
          <w:b w:val="0"/>
          <w:bCs/>
          <w:color w:val="auto"/>
          <w:kern w:val="2"/>
          <w:sz w:val="32"/>
          <w:szCs w:val="32"/>
          <w:lang w:val="en-US" w:eastAsia="zh-CN" w:bidi="ar-SA"/>
        </w:rPr>
        <w:t>，总分馆一体化成果获上级部门认可</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28"/>
        <w:keepNext w:val="0"/>
        <w:keepLines w:val="0"/>
        <w:pageBreakBefore w:val="0"/>
        <w:widowControl/>
        <w:numPr>
          <w:ilvl w:val="2"/>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b w:val="0"/>
          <w:color w:val="auto"/>
        </w:rPr>
      </w:pPr>
      <w:r>
        <w:rPr>
          <w:rFonts w:hint="eastAsia" w:ascii="仿宋_GB2312" w:hAnsi="仿宋_GB2312" w:eastAsia="仿宋_GB2312" w:cs="仿宋_GB2312"/>
          <w:b/>
          <w:bCs/>
          <w:color w:val="auto"/>
          <w:lang w:val="en-US" w:eastAsia="zh-CN"/>
        </w:rPr>
        <w:t>一是读者满意度较高。</w:t>
      </w:r>
      <w:r>
        <w:rPr>
          <w:rFonts w:hint="eastAsia" w:ascii="仿宋_GB2312" w:hAnsi="仿宋_GB2312" w:eastAsia="仿宋_GB2312" w:cs="仿宋_GB2312"/>
          <w:b w:val="0"/>
          <w:color w:val="auto"/>
        </w:rPr>
        <w:t>根据图书馆聘请的第三方机构满意度调查结果，2020年25个分馆的平均总体满意满意率为89.68%，2021年35个分馆的平均总体满意度为97.54%，读者对图书馆分馆的满意度较高。另根据本次评价小组开展的满意度调查，龙岗图书馆分馆的总体满意度为93.64%。</w:t>
      </w:r>
    </w:p>
    <w:p>
      <w:pPr>
        <w:keepNext w:val="0"/>
        <w:keepLines w:val="0"/>
        <w:pageBreakBefore w:val="0"/>
        <w:widowControl/>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b w:val="0"/>
          <w:color w:val="auto"/>
          <w:kern w:val="2"/>
          <w:sz w:val="32"/>
          <w:szCs w:val="32"/>
          <w:lang w:val="en-US" w:eastAsia="zh-CN" w:bidi="ar-SA"/>
        </w:rPr>
      </w:pPr>
      <w:bookmarkStart w:id="124" w:name="_Toc22900"/>
      <w:bookmarkStart w:id="125" w:name="_Toc24160"/>
      <w:bookmarkStart w:id="126" w:name="_Toc4135"/>
      <w:bookmarkStart w:id="127" w:name="_Toc70"/>
      <w:bookmarkStart w:id="128" w:name="_Toc30539"/>
      <w:bookmarkStart w:id="129" w:name="_Toc9621"/>
      <w:bookmarkStart w:id="130" w:name="_Toc1412"/>
      <w:bookmarkStart w:id="131" w:name="_Toc25168"/>
      <w:bookmarkStart w:id="132" w:name="_Toc10175"/>
      <w:r>
        <w:rPr>
          <w:rFonts w:hint="eastAsia" w:ascii="仿宋_GB2312" w:hAnsi="仿宋_GB2312" w:eastAsia="仿宋_GB2312" w:cs="仿宋_GB2312"/>
          <w:b/>
          <w:bCs/>
          <w:color w:val="auto"/>
          <w:kern w:val="2"/>
          <w:sz w:val="32"/>
          <w:szCs w:val="32"/>
          <w:lang w:val="en-US" w:eastAsia="zh-CN"/>
        </w:rPr>
        <w:t>二是总分馆一体化成果获上级部门认可。</w:t>
      </w:r>
      <w:r>
        <w:rPr>
          <w:rFonts w:hint="eastAsia" w:ascii="仿宋_GB2312" w:hAnsi="仿宋_GB2312" w:eastAsia="仿宋_GB2312" w:cs="仿宋_GB2312"/>
          <w:b w:val="0"/>
          <w:color w:val="auto"/>
          <w:kern w:val="2"/>
          <w:sz w:val="32"/>
          <w:szCs w:val="32"/>
          <w:lang w:val="en-US" w:eastAsia="zh-CN" w:bidi="ar-SA"/>
        </w:rPr>
        <w:t>2020年12月，全市图书馆文化馆总分馆建设现场会安排在龙岗区，邀请各区文化主管部门、图书馆、文化馆负责人，到龙岗区参观学习。</w:t>
      </w:r>
      <w:bookmarkEnd w:id="124"/>
      <w:bookmarkEnd w:id="125"/>
      <w:bookmarkEnd w:id="126"/>
      <w:bookmarkEnd w:id="127"/>
      <w:bookmarkEnd w:id="128"/>
      <w:bookmarkEnd w:id="129"/>
      <w:bookmarkEnd w:id="130"/>
      <w:bookmarkEnd w:id="131"/>
      <w:bookmarkEnd w:id="132"/>
      <w:r>
        <w:rPr>
          <w:rFonts w:hint="eastAsia" w:ascii="仿宋_GB2312" w:hAnsi="仿宋_GB2312" w:eastAsia="仿宋_GB2312" w:cs="仿宋_GB2312"/>
          <w:b w:val="0"/>
          <w:color w:val="auto"/>
          <w:kern w:val="2"/>
          <w:sz w:val="32"/>
          <w:szCs w:val="32"/>
          <w:lang w:val="en-US" w:eastAsia="zh-CN" w:bidi="ar-SA"/>
        </w:rPr>
        <w:t>2021年11月，深圳市文化广电旅游体育局特别给龙岗区颁发“深圳市推行图书馆总分馆一体化管理工作先进单位”。2021年12月，深圳市文化广电旅游体育局把龙岗图书馆《公共图书馆总分馆垂直管理“龙岗模式”研究》课题项目评为全市优秀课题，向全市推广公共图书馆总分馆垂直管理“龙岗模式”。</w:t>
      </w:r>
    </w:p>
    <w:p>
      <w:pPr>
        <w:pStyle w:val="26"/>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cs="Times New Roman"/>
          <w:b w:val="0"/>
          <w:color w:val="auto"/>
        </w:rPr>
      </w:pPr>
      <w:bookmarkStart w:id="133" w:name="_Toc18370"/>
      <w:bookmarkStart w:id="134" w:name="_Toc964"/>
      <w:bookmarkStart w:id="135" w:name="_Toc106792918"/>
      <w:bookmarkStart w:id="136" w:name="_Toc22146"/>
      <w:bookmarkStart w:id="137" w:name="_Toc18356"/>
      <w:bookmarkStart w:id="138" w:name="_Toc32687"/>
      <w:bookmarkStart w:id="139" w:name="_Toc24018"/>
      <w:bookmarkStart w:id="140" w:name="_Toc31300"/>
      <w:bookmarkStart w:id="141" w:name="_Toc28042"/>
      <w:bookmarkStart w:id="142" w:name="_Toc2898"/>
      <w:bookmarkStart w:id="143" w:name="_Toc19785"/>
      <w:bookmarkStart w:id="144" w:name="_Toc15698"/>
      <w:bookmarkStart w:id="145" w:name="_Toc5742"/>
      <w:bookmarkStart w:id="146" w:name="_Toc14027"/>
      <w:bookmarkStart w:id="147" w:name="_Toc7665"/>
      <w:bookmarkStart w:id="148" w:name="_Toc2662"/>
      <w:bookmarkStart w:id="149" w:name="_Toc23341"/>
      <w:bookmarkStart w:id="150" w:name="_Toc21639"/>
      <w:bookmarkStart w:id="151" w:name="_Toc608"/>
      <w:bookmarkStart w:id="152" w:name="_Toc7408"/>
      <w:bookmarkStart w:id="153" w:name="_Toc30730"/>
      <w:bookmarkStart w:id="154" w:name="_Toc29662"/>
      <w:bookmarkStart w:id="155" w:name="_Toc6619"/>
      <w:bookmarkStart w:id="156" w:name="_Toc14329"/>
      <w:r>
        <w:rPr>
          <w:rFonts w:hint="eastAsia" w:cs="Times New Roman"/>
          <w:b w:val="0"/>
          <w:color w:val="auto"/>
          <w:lang w:eastAsia="zh-CN"/>
        </w:rPr>
        <w:t>三</w:t>
      </w:r>
      <w:r>
        <w:rPr>
          <w:rFonts w:cs="Times New Roman"/>
          <w:b w:val="0"/>
          <w:color w:val="auto"/>
        </w:rPr>
        <w:t>、主要问题</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27"/>
        <w:keepNext w:val="0"/>
        <w:keepLines w:val="0"/>
        <w:pageBreakBefore w:val="0"/>
        <w:widowControl/>
        <w:kinsoku/>
        <w:wordWrap/>
        <w:overflowPunct/>
        <w:topLinePunct w:val="0"/>
        <w:autoSpaceDE/>
        <w:autoSpaceDN/>
        <w:bidi w:val="0"/>
        <w:spacing w:line="560" w:lineRule="exact"/>
        <w:ind w:firstLine="640"/>
        <w:textAlignment w:val="auto"/>
        <w:rPr>
          <w:rFonts w:hint="eastAsia" w:cs="Times New Roman"/>
          <w:b w:val="0"/>
          <w:bCs/>
          <w:color w:val="auto"/>
        </w:rPr>
      </w:pPr>
      <w:bookmarkStart w:id="157" w:name="_Toc27240"/>
      <w:bookmarkStart w:id="158" w:name="_Toc3"/>
      <w:bookmarkStart w:id="159" w:name="_Toc4871"/>
      <w:bookmarkStart w:id="160" w:name="_Toc3124"/>
      <w:bookmarkStart w:id="161" w:name="_Toc3770"/>
      <w:bookmarkStart w:id="162" w:name="_Toc12219"/>
      <w:bookmarkStart w:id="163" w:name="_Toc26509"/>
      <w:bookmarkStart w:id="164" w:name="_Toc6509"/>
      <w:bookmarkStart w:id="165" w:name="_Toc17862"/>
      <w:bookmarkStart w:id="166" w:name="_Toc25308"/>
      <w:bookmarkStart w:id="167" w:name="_Toc10395"/>
      <w:bookmarkStart w:id="168" w:name="_Toc24906"/>
      <w:bookmarkStart w:id="169" w:name="_Toc28882"/>
      <w:bookmarkStart w:id="170" w:name="_Toc14808"/>
      <w:bookmarkStart w:id="171" w:name="_Toc4888"/>
      <w:bookmarkStart w:id="172" w:name="_Toc29319"/>
      <w:bookmarkStart w:id="173" w:name="_Toc31769"/>
      <w:bookmarkStart w:id="174" w:name="_Toc1747"/>
      <w:bookmarkStart w:id="175" w:name="_Toc3023"/>
      <w:bookmarkStart w:id="176" w:name="_Toc18864"/>
      <w:bookmarkStart w:id="177" w:name="_Toc1626"/>
      <w:bookmarkStart w:id="178" w:name="_Toc31891"/>
      <w:bookmarkStart w:id="179" w:name="_Toc106792919"/>
      <w:bookmarkStart w:id="180" w:name="_Toc28298"/>
      <w:r>
        <w:rPr>
          <w:rFonts w:cs="Times New Roman"/>
          <w:b w:val="0"/>
          <w:bCs/>
          <w:color w:val="auto"/>
        </w:rPr>
        <w:t>（一）</w:t>
      </w:r>
      <w:r>
        <w:rPr>
          <w:rFonts w:hint="eastAsia" w:cs="Times New Roman"/>
          <w:b w:val="0"/>
          <w:bCs/>
          <w:color w:val="auto"/>
          <w:lang w:val="en-US" w:eastAsia="zh-CN"/>
        </w:rPr>
        <w:t>合同条款设置不严谨且未采用协商手段减少合同价款支付</w:t>
      </w:r>
      <w:r>
        <w:rPr>
          <w:rFonts w:hint="eastAsia" w:cs="Times New Roman"/>
          <w:b w:val="0"/>
          <w:bCs/>
          <w:color w:val="auto"/>
        </w:rPr>
        <w:t>，造成财政资金过度支出</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29"/>
        <w:keepNext w:val="0"/>
        <w:keepLines w:val="0"/>
        <w:pageBreakBefore w:val="0"/>
        <w:widowControl/>
        <w:kinsoku/>
        <w:wordWrap/>
        <w:overflowPunct/>
        <w:topLinePunct w:val="0"/>
        <w:autoSpaceDE/>
        <w:autoSpaceDN/>
        <w:bidi w:val="0"/>
        <w:spacing w:line="560" w:lineRule="exact"/>
        <w:textAlignment w:val="auto"/>
        <w:rPr>
          <w:rFonts w:hint="eastAsia" w:ascii="仿宋_GB2312" w:hAnsi="仿宋_GB2312" w:eastAsia="仿宋_GB2312" w:cs="仿宋_GB2312"/>
          <w:b/>
          <w:bCs/>
          <w:color w:val="auto"/>
          <w:sz w:val="32"/>
          <w:szCs w:val="32"/>
        </w:rPr>
      </w:pPr>
      <w:bookmarkStart w:id="181" w:name="_Toc2244"/>
      <w:bookmarkStart w:id="182" w:name="_Toc707"/>
      <w:bookmarkStart w:id="183" w:name="_Toc25263"/>
      <w:bookmarkStart w:id="184" w:name="_Toc7411"/>
      <w:bookmarkStart w:id="185" w:name="_Toc21652"/>
      <w:bookmarkStart w:id="186" w:name="_Toc21860"/>
      <w:r>
        <w:rPr>
          <w:rFonts w:hint="eastAsia" w:ascii="仿宋_GB2312" w:hAnsi="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rPr>
        <w:t>合同订立时未设置违约条款事前预防纠纷</w:t>
      </w:r>
      <w:bookmarkEnd w:id="181"/>
      <w:bookmarkEnd w:id="182"/>
      <w:bookmarkEnd w:id="183"/>
      <w:bookmarkEnd w:id="184"/>
      <w:bookmarkEnd w:id="185"/>
      <w:bookmarkEnd w:id="186"/>
      <w:r>
        <w:rPr>
          <w:rFonts w:hint="eastAsia" w:ascii="仿宋_GB2312" w:hAnsi="仿宋_GB2312" w:cs="仿宋_GB2312"/>
          <w:b w:val="0"/>
          <w:bCs w:val="0"/>
          <w:color w:val="auto"/>
          <w:sz w:val="32"/>
          <w:szCs w:val="32"/>
          <w:lang w:eastAsia="zh-CN"/>
        </w:rPr>
        <w:t>。</w:t>
      </w:r>
      <w:bookmarkStart w:id="187" w:name="_Toc28765"/>
      <w:bookmarkStart w:id="188" w:name="_Toc21169"/>
      <w:bookmarkStart w:id="189" w:name="_Toc11596"/>
      <w:bookmarkStart w:id="190" w:name="_Toc480"/>
      <w:bookmarkStart w:id="191" w:name="_Toc17538"/>
      <w:bookmarkStart w:id="192" w:name="_Toc31738"/>
      <w:r>
        <w:rPr>
          <w:rFonts w:hint="eastAsia" w:ascii="仿宋_GB2312" w:hAnsi="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rPr>
        <w:t>合同订立时约定支付乙方劳动合同终止经济补偿金的条款设立不合理</w:t>
      </w:r>
      <w:bookmarkEnd w:id="187"/>
      <w:bookmarkEnd w:id="188"/>
      <w:bookmarkEnd w:id="189"/>
      <w:bookmarkEnd w:id="190"/>
      <w:bookmarkEnd w:id="191"/>
      <w:bookmarkEnd w:id="192"/>
      <w:r>
        <w:rPr>
          <w:rFonts w:hint="eastAsia" w:ascii="仿宋_GB2312" w:hAnsi="仿宋_GB2312" w:cs="仿宋_GB2312"/>
          <w:b w:val="0"/>
          <w:bCs w:val="0"/>
          <w:color w:val="auto"/>
          <w:sz w:val="32"/>
          <w:szCs w:val="32"/>
          <w:lang w:eastAsia="zh-CN"/>
        </w:rPr>
        <w:t>。</w:t>
      </w:r>
      <w:bookmarkStart w:id="193" w:name="_Toc9285"/>
      <w:bookmarkStart w:id="194" w:name="_Toc17903"/>
      <w:bookmarkStart w:id="195" w:name="_Toc23735"/>
      <w:bookmarkStart w:id="196" w:name="_Toc9757"/>
      <w:bookmarkStart w:id="197" w:name="_Toc14482"/>
      <w:bookmarkStart w:id="198" w:name="_Toc22984"/>
      <w:r>
        <w:rPr>
          <w:rFonts w:hint="eastAsia" w:ascii="仿宋_GB2312" w:hAnsi="仿宋_GB2312" w:cs="仿宋_GB2312"/>
          <w:b/>
          <w:bCs/>
          <w:color w:val="auto"/>
          <w:sz w:val="32"/>
          <w:szCs w:val="32"/>
          <w:lang w:eastAsia="zh-CN"/>
        </w:rPr>
        <w:t>三是</w:t>
      </w:r>
      <w:r>
        <w:rPr>
          <w:rFonts w:hint="eastAsia" w:ascii="仿宋_GB2312" w:hAnsi="仿宋_GB2312" w:eastAsia="仿宋_GB2312" w:cs="仿宋_GB2312"/>
          <w:b w:val="0"/>
          <w:bCs w:val="0"/>
          <w:color w:val="auto"/>
          <w:sz w:val="32"/>
          <w:szCs w:val="32"/>
          <w:lang w:val="en-US" w:eastAsia="zh-CN"/>
        </w:rPr>
        <w:t>履约情形改变后未采用协商手段节约财政资金</w:t>
      </w:r>
      <w:bookmarkEnd w:id="193"/>
      <w:bookmarkEnd w:id="194"/>
      <w:bookmarkEnd w:id="195"/>
      <w:bookmarkEnd w:id="196"/>
      <w:bookmarkEnd w:id="197"/>
      <w:bookmarkEnd w:id="198"/>
      <w:r>
        <w:rPr>
          <w:rFonts w:hint="eastAsia" w:ascii="仿宋_GB2312" w:hAnsi="仿宋_GB2312" w:cs="仿宋_GB2312"/>
          <w:b w:val="0"/>
          <w:bCs w:val="0"/>
          <w:color w:val="auto"/>
          <w:sz w:val="32"/>
          <w:szCs w:val="32"/>
          <w:lang w:val="en-US" w:eastAsia="zh-CN"/>
        </w:rPr>
        <w:t>。</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199" w:name="_Toc2046"/>
      <w:bookmarkStart w:id="200" w:name="_Toc16808"/>
      <w:bookmarkStart w:id="201" w:name="_Toc21385"/>
      <w:bookmarkStart w:id="202" w:name="_Toc2713"/>
      <w:bookmarkStart w:id="203" w:name="_Toc10835"/>
      <w:bookmarkStart w:id="204" w:name="_Toc5375"/>
      <w:bookmarkStart w:id="205" w:name="_Toc15332"/>
      <w:bookmarkStart w:id="206" w:name="_Toc29794"/>
      <w:bookmarkStart w:id="207" w:name="_Toc21243"/>
      <w:bookmarkStart w:id="208" w:name="_Toc24414"/>
      <w:bookmarkStart w:id="209" w:name="_Toc14657"/>
      <w:bookmarkStart w:id="210" w:name="_Toc11735"/>
      <w:bookmarkStart w:id="211" w:name="_Toc21500"/>
      <w:bookmarkStart w:id="212" w:name="_Toc106792920"/>
      <w:bookmarkStart w:id="213" w:name="_Toc25315"/>
      <w:bookmarkStart w:id="214" w:name="_Toc14337"/>
      <w:bookmarkStart w:id="215" w:name="_Toc948"/>
      <w:bookmarkStart w:id="216" w:name="_Toc15642"/>
      <w:bookmarkStart w:id="217" w:name="_Toc638"/>
      <w:bookmarkStart w:id="218" w:name="_Toc20356"/>
      <w:bookmarkStart w:id="219" w:name="_Toc15975"/>
      <w:bookmarkStart w:id="220" w:name="_Toc29010"/>
      <w:bookmarkStart w:id="221" w:name="_Toc17254"/>
      <w:bookmarkStart w:id="222" w:name="_Toc17506"/>
      <w:r>
        <w:rPr>
          <w:rFonts w:cs="Times New Roman"/>
          <w:b w:val="0"/>
          <w:bCs/>
          <w:color w:val="auto"/>
        </w:rPr>
        <w:t>（二）考核标准科学性不足，难以真实反映各分馆运营管理的实际情况</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29"/>
        <w:keepNext w:val="0"/>
        <w:keepLines w:val="0"/>
        <w:pageBreakBefore w:val="0"/>
        <w:widowControl/>
        <w:kinsoku/>
        <w:wordWrap/>
        <w:overflowPunct/>
        <w:topLinePunct w:val="0"/>
        <w:autoSpaceDE/>
        <w:autoSpaceDN/>
        <w:bidi w:val="0"/>
        <w:spacing w:line="560" w:lineRule="exact"/>
        <w:ind w:firstLine="640"/>
        <w:textAlignment w:val="auto"/>
        <w:rPr>
          <w:rFonts w:hint="default" w:eastAsia="仿宋_GB2312" w:cs="Times New Roman"/>
          <w:color w:val="auto"/>
          <w:lang w:val="en-US" w:eastAsia="zh-CN"/>
        </w:rPr>
      </w:pPr>
      <w:r>
        <w:rPr>
          <w:rFonts w:hint="eastAsia" w:ascii="仿宋_GB2312" w:hAnsi="仿宋_GB2312" w:eastAsia="仿宋_GB2312" w:cs="仿宋_GB2312"/>
          <w:color w:val="auto"/>
          <w:highlight w:val="none"/>
        </w:rPr>
        <w:t>龙岗图书馆总分馆</w:t>
      </w:r>
      <w:r>
        <w:rPr>
          <w:rFonts w:hint="eastAsia" w:ascii="仿宋_GB2312" w:hAnsi="仿宋_GB2312" w:eastAsia="仿宋_GB2312" w:cs="仿宋_GB2312"/>
          <w:color w:val="auto"/>
          <w:highlight w:val="none"/>
          <w:lang w:val="en-US" w:eastAsia="zh-CN"/>
        </w:rPr>
        <w:t>一体化管理</w:t>
      </w:r>
      <w:r>
        <w:rPr>
          <w:rFonts w:hint="eastAsia" w:ascii="仿宋_GB2312" w:hAnsi="仿宋_GB2312" w:eastAsia="仿宋_GB2312" w:cs="仿宋_GB2312"/>
          <w:color w:val="auto"/>
          <w:highlight w:val="none"/>
        </w:rPr>
        <w:t>项目绩效考核主要通过两方面为抓手，</w:t>
      </w:r>
      <w:r>
        <w:rPr>
          <w:rFonts w:hint="eastAsia" w:ascii="仿宋_GB2312" w:hAnsi="仿宋_GB2312" w:eastAsia="仿宋_GB2312" w:cs="仿宋_GB2312"/>
          <w:b/>
          <w:bCs/>
          <w:color w:val="auto"/>
          <w:highlight w:val="none"/>
        </w:rPr>
        <w:t>一是</w:t>
      </w:r>
      <w:r>
        <w:rPr>
          <w:rFonts w:hint="eastAsia" w:ascii="仿宋_GB2312" w:hAnsi="仿宋_GB2312" w:eastAsia="仿宋_GB2312" w:cs="仿宋_GB2312"/>
          <w:color w:val="auto"/>
          <w:highlight w:val="none"/>
        </w:rPr>
        <w:t>由总馆、</w:t>
      </w:r>
      <w:r>
        <w:rPr>
          <w:rFonts w:hint="eastAsia" w:ascii="仿宋_GB2312" w:hAnsi="仿宋_GB2312" w:eastAsia="仿宋_GB2312" w:cs="仿宋_GB2312"/>
          <w:color w:val="auto"/>
          <w:highlight w:val="none"/>
          <w:lang w:val="en-US" w:eastAsia="zh-CN"/>
        </w:rPr>
        <w:t>供应商</w:t>
      </w:r>
      <w:r>
        <w:rPr>
          <w:rFonts w:hint="eastAsia" w:ascii="仿宋_GB2312" w:hAnsi="仿宋_GB2312" w:eastAsia="仿宋_GB2312" w:cs="仿宋_GB2312"/>
          <w:color w:val="auto"/>
          <w:highlight w:val="none"/>
        </w:rPr>
        <w:t>进行日常实地巡查、汇总服务数据，形成年度绩效评估报告。但因37个分馆分布位置较广，工作人员较多，考核</w:t>
      </w:r>
      <w:r>
        <w:rPr>
          <w:rFonts w:hint="eastAsia" w:ascii="仿宋_GB2312" w:hAnsi="仿宋_GB2312" w:eastAsia="仿宋_GB2312" w:cs="仿宋_GB2312"/>
          <w:color w:val="auto"/>
          <w:highlight w:val="none"/>
          <w:lang w:val="en-US" w:eastAsia="zh-CN"/>
        </w:rPr>
        <w:t>以</w:t>
      </w:r>
      <w:r>
        <w:rPr>
          <w:rFonts w:hint="eastAsia" w:ascii="仿宋_GB2312" w:hAnsi="仿宋_GB2312" w:eastAsia="仿宋_GB2312" w:cs="仿宋_GB2312"/>
          <w:color w:val="auto"/>
          <w:highlight w:val="none"/>
        </w:rPr>
        <w:t>抽查为主，难以实时查看现场跟踪实际工作情况，对人员的绩效评价存在不真实、不客观的片面现象</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color w:val="auto"/>
          <w:lang w:val="en-US" w:eastAsia="zh-CN"/>
        </w:rPr>
        <w:t>通过合同服务指标进行考核约束。</w:t>
      </w:r>
      <w:r>
        <w:rPr>
          <w:rFonts w:hint="eastAsia" w:ascii="仿宋_GB2312" w:hAnsi="仿宋_GB2312" w:eastAsia="仿宋_GB2312" w:cs="仿宋_GB2312"/>
          <w:color w:val="auto"/>
        </w:rPr>
        <w:t>评价发现，由于每个分馆的发展定位、</w:t>
      </w:r>
      <w:r>
        <w:rPr>
          <w:rFonts w:hint="eastAsia" w:ascii="仿宋_GB2312" w:hAnsi="仿宋_GB2312" w:eastAsia="仿宋_GB2312" w:cs="仿宋_GB2312"/>
          <w:color w:val="auto"/>
          <w:lang w:val="en-US" w:eastAsia="zh-CN"/>
        </w:rPr>
        <w:t>服务基础、</w:t>
      </w:r>
      <w:r>
        <w:rPr>
          <w:rFonts w:hint="eastAsia" w:ascii="仿宋_GB2312" w:hAnsi="仿宋_GB2312" w:eastAsia="仿宋_GB2312" w:cs="仿宋_GB2312"/>
          <w:color w:val="auto"/>
        </w:rPr>
        <w:t>发展模式、主要服务对象等不尽相同，单一的考核方式并不完全适用于每个分馆和每个岗位。而当前发展较成熟的分馆和新建的分馆，在考核要求上没有明显差别，无法有效反映各分馆之间的差距。</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223" w:name="_Toc15752"/>
      <w:bookmarkStart w:id="224" w:name="_Toc18916"/>
      <w:bookmarkStart w:id="225" w:name="_Toc13575"/>
      <w:bookmarkStart w:id="226" w:name="_Toc3127"/>
      <w:bookmarkStart w:id="227" w:name="_Toc21000"/>
      <w:bookmarkStart w:id="228" w:name="_Toc22396"/>
      <w:bookmarkStart w:id="229" w:name="_Toc4473"/>
      <w:bookmarkStart w:id="230" w:name="_Toc29465"/>
      <w:bookmarkStart w:id="231" w:name="_Toc25718"/>
      <w:bookmarkStart w:id="232" w:name="_Toc10920"/>
      <w:bookmarkStart w:id="233" w:name="_Toc26234"/>
      <w:bookmarkStart w:id="234" w:name="_Toc28491"/>
      <w:bookmarkStart w:id="235" w:name="_Toc25609"/>
      <w:bookmarkStart w:id="236" w:name="_Toc10042"/>
      <w:bookmarkStart w:id="237" w:name="_Toc20537"/>
      <w:bookmarkStart w:id="238" w:name="_Toc4894"/>
      <w:bookmarkStart w:id="239" w:name="_Toc23119"/>
      <w:bookmarkStart w:id="240" w:name="_Toc24239"/>
      <w:bookmarkStart w:id="241" w:name="_Toc22687"/>
      <w:bookmarkStart w:id="242" w:name="_Toc140"/>
      <w:bookmarkStart w:id="243" w:name="_Toc106792921"/>
      <w:bookmarkStart w:id="244" w:name="_Toc12633"/>
      <w:bookmarkStart w:id="245" w:name="_Toc6400"/>
      <w:bookmarkStart w:id="246" w:name="_Toc11249"/>
      <w:r>
        <w:rPr>
          <w:rFonts w:cs="Times New Roman"/>
          <w:b w:val="0"/>
          <w:bCs/>
          <w:color w:val="auto"/>
        </w:rPr>
        <w:t>（三）各分馆馆员的服务效能不均衡，仍有提升空间</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29"/>
        <w:keepNext w:val="0"/>
        <w:keepLines w:val="0"/>
        <w:pageBreakBefore w:val="0"/>
        <w:widowControl/>
        <w:kinsoku/>
        <w:wordWrap/>
        <w:overflowPunct/>
        <w:topLinePunct w:val="0"/>
        <w:autoSpaceDE/>
        <w:autoSpaceDN/>
        <w:bidi w:val="0"/>
        <w:spacing w:line="560" w:lineRule="exact"/>
        <w:ind w:firstLine="640" w:firstLineChars="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评价发现有</w:t>
      </w:r>
      <w:r>
        <w:rPr>
          <w:rFonts w:hint="eastAsia" w:ascii="仿宋_GB2312" w:hAnsi="仿宋_GB2312" w:eastAsia="仿宋_GB2312" w:cs="仿宋_GB2312"/>
          <w:color w:val="auto"/>
          <w:lang w:val="en-US" w:eastAsia="zh-CN"/>
        </w:rPr>
        <w:t>8个分馆在人员配置数量高于其他分馆的情况下，服务效能并未相应提升，而是因人员冗余导致馆员平均服务效能较低，馆员服务效能仍有提升空间</w:t>
      </w:r>
      <w:r>
        <w:rPr>
          <w:rFonts w:hint="eastAsia" w:ascii="仿宋_GB2312" w:hAnsi="仿宋_GB2312" w:eastAsia="仿宋_GB2312" w:cs="仿宋_GB2312"/>
          <w:color w:val="auto"/>
          <w:lang w:eastAsia="zh-CN"/>
        </w:rPr>
        <w:t>。</w:t>
      </w:r>
      <w:r>
        <w:rPr>
          <w:rFonts w:hint="eastAsia" w:ascii="仿宋_GB2312" w:hAnsi="仿宋_GB2312" w:cs="仿宋_GB2312"/>
          <w:color w:val="auto"/>
          <w:lang w:eastAsia="zh-CN"/>
        </w:rPr>
        <w:t>此外，还</w:t>
      </w:r>
      <w:r>
        <w:rPr>
          <w:rFonts w:hint="eastAsia" w:ascii="仿宋_GB2312" w:hAnsi="仿宋_GB2312" w:eastAsia="仿宋_GB2312" w:cs="仿宋_GB2312"/>
          <w:color w:val="auto"/>
          <w:lang w:val="en-US" w:eastAsia="zh-CN"/>
        </w:rPr>
        <w:t>发现部分分馆配置</w:t>
      </w:r>
      <w:r>
        <w:rPr>
          <w:rFonts w:hint="eastAsia" w:ascii="仿宋_GB2312" w:hAnsi="仿宋_GB2312" w:eastAsia="仿宋_GB2312" w:cs="仿宋_GB2312"/>
          <w:color w:val="auto"/>
        </w:rPr>
        <w:t>人员</w:t>
      </w:r>
      <w:r>
        <w:rPr>
          <w:rFonts w:hint="eastAsia" w:ascii="仿宋_GB2312" w:hAnsi="仿宋_GB2312" w:eastAsia="仿宋_GB2312" w:cs="仿宋_GB2312"/>
          <w:color w:val="auto"/>
          <w:lang w:val="en-US" w:eastAsia="zh-CN"/>
        </w:rPr>
        <w:t>数量不合理</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部分分馆某些时段到馆人数和借阅量较少，但由于配置人员较多，为了</w:t>
      </w:r>
      <w:r>
        <w:rPr>
          <w:rFonts w:hint="eastAsia" w:ascii="仿宋_GB2312" w:hAnsi="仿宋_GB2312" w:eastAsia="仿宋_GB2312" w:cs="仿宋_GB2312"/>
          <w:color w:val="auto"/>
        </w:rPr>
        <w:t>每个工作人员每周上班时间</w:t>
      </w:r>
      <w:r>
        <w:rPr>
          <w:rFonts w:hint="eastAsia" w:ascii="仿宋_GB2312" w:hAnsi="仿宋_GB2312" w:eastAsia="仿宋_GB2312" w:cs="仿宋_GB2312"/>
          <w:color w:val="auto"/>
          <w:lang w:val="en-US" w:eastAsia="zh-CN"/>
        </w:rPr>
        <w:t>能</w:t>
      </w:r>
      <w:r>
        <w:rPr>
          <w:rFonts w:hint="eastAsia" w:ascii="仿宋_GB2312" w:hAnsi="仿宋_GB2312" w:eastAsia="仿宋_GB2312" w:cs="仿宋_GB2312"/>
          <w:color w:val="auto"/>
        </w:rPr>
        <w:t>达到40小时，</w:t>
      </w:r>
      <w:r>
        <w:rPr>
          <w:rFonts w:hint="eastAsia" w:ascii="仿宋_GB2312" w:hAnsi="仿宋_GB2312" w:eastAsia="仿宋_GB2312" w:cs="仿宋_GB2312"/>
          <w:color w:val="auto"/>
          <w:lang w:val="en-US" w:eastAsia="zh-CN"/>
        </w:rPr>
        <w:t>安排1人以上</w:t>
      </w:r>
      <w:r>
        <w:rPr>
          <w:rFonts w:hint="eastAsia" w:ascii="仿宋_GB2312" w:hAnsi="仿宋_GB2312" w:eastAsia="仿宋_GB2312" w:cs="仿宋_GB2312"/>
          <w:color w:val="auto"/>
        </w:rPr>
        <w:t>馆员在</w:t>
      </w:r>
      <w:r>
        <w:rPr>
          <w:rFonts w:hint="eastAsia" w:ascii="仿宋_GB2312" w:hAnsi="仿宋_GB2312" w:eastAsia="仿宋_GB2312" w:cs="仿宋_GB2312"/>
          <w:color w:val="auto"/>
          <w:lang w:val="en-US" w:eastAsia="zh-CN"/>
        </w:rPr>
        <w:t>同时段值班，造成人力资源的浪费。</w:t>
      </w:r>
    </w:p>
    <w:p>
      <w:pPr>
        <w:pStyle w:val="27"/>
        <w:keepNext w:val="0"/>
        <w:keepLines w:val="0"/>
        <w:pageBreakBefore w:val="0"/>
        <w:widowControl/>
        <w:numPr>
          <w:ilvl w:val="-1"/>
          <w:numId w:val="0"/>
        </w:numPr>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b w:val="0"/>
          <w:bCs w:val="0"/>
          <w:color w:val="auto"/>
          <w:kern w:val="0"/>
          <w:lang w:val="en-US" w:eastAsia="zh-CN"/>
        </w:rPr>
      </w:pPr>
      <w:bookmarkStart w:id="247" w:name="_Toc17054"/>
      <w:bookmarkStart w:id="248" w:name="_Toc11459"/>
      <w:bookmarkStart w:id="249" w:name="_Toc24830"/>
      <w:bookmarkStart w:id="250" w:name="_Toc5324"/>
      <w:bookmarkStart w:id="251" w:name="_Toc6554"/>
      <w:bookmarkStart w:id="252" w:name="_Toc16951"/>
      <w:bookmarkStart w:id="253" w:name="_Toc27764"/>
      <w:bookmarkStart w:id="254" w:name="_Toc7113"/>
      <w:bookmarkStart w:id="255" w:name="_Toc3678"/>
      <w:bookmarkStart w:id="256" w:name="_Toc3560"/>
      <w:bookmarkStart w:id="257" w:name="_Toc24710"/>
      <w:bookmarkStart w:id="258" w:name="_Toc1796"/>
      <w:bookmarkStart w:id="259" w:name="_Toc31664"/>
      <w:bookmarkStart w:id="260" w:name="_Toc19286"/>
      <w:bookmarkStart w:id="261" w:name="_Toc18694"/>
      <w:bookmarkStart w:id="262" w:name="_Toc13183"/>
      <w:bookmarkStart w:id="263" w:name="_Toc18374"/>
      <w:bookmarkStart w:id="264" w:name="_Toc106792922"/>
      <w:bookmarkStart w:id="265" w:name="_Toc7243"/>
      <w:bookmarkStart w:id="266" w:name="_Toc21438"/>
      <w:bookmarkStart w:id="267" w:name="_Toc15023"/>
      <w:bookmarkStart w:id="268" w:name="_Toc9643"/>
      <w:bookmarkStart w:id="269" w:name="_Toc17968"/>
      <w:bookmarkStart w:id="270" w:name="_Toc3121"/>
      <w:r>
        <w:rPr>
          <w:rFonts w:hint="eastAsia" w:ascii="楷体_GB2312" w:hAnsi="楷体_GB2312" w:eastAsia="楷体_GB2312" w:cs="楷体_GB2312"/>
          <w:b w:val="0"/>
          <w:bCs w:val="0"/>
          <w:color w:val="auto"/>
          <w:kern w:val="0"/>
          <w:lang w:val="en-US" w:eastAsia="zh-CN"/>
        </w:rPr>
        <w:t>（四）馆员学历要求与工作能力要求不完全匹配，造成人力资源的浪费和用人成本的提高</w:t>
      </w:r>
      <w:bookmarkEnd w:id="247"/>
      <w:bookmarkEnd w:id="248"/>
      <w:bookmarkEnd w:id="249"/>
      <w:bookmarkEnd w:id="250"/>
      <w:bookmarkEnd w:id="251"/>
      <w:bookmarkEnd w:id="252"/>
      <w:bookmarkEnd w:id="253"/>
      <w:bookmarkEnd w:id="254"/>
      <w:bookmarkEnd w:id="255"/>
      <w:bookmarkEnd w:id="256"/>
      <w:bookmarkEnd w:id="257"/>
      <w:bookmarkEnd w:id="258"/>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val="en-US"/>
        </w:rPr>
      </w:pPr>
      <w:bookmarkStart w:id="271" w:name="_Toc14317"/>
      <w:r>
        <w:rPr>
          <w:rFonts w:hint="eastAsia" w:ascii="仿宋_GB2312" w:hAnsi="仿宋_GB2312" w:eastAsia="仿宋_GB2312" w:cs="仿宋_GB2312"/>
          <w:color w:val="auto"/>
          <w:sz w:val="32"/>
          <w:szCs w:val="32"/>
        </w:rPr>
        <w:t>当前，龙岗区馆员学历招标要求全日制本科或以上学历，经区图书馆同意</w:t>
      </w:r>
      <w:r>
        <w:rPr>
          <w:rFonts w:hint="eastAsia" w:ascii="仿宋_GB2312" w:hAnsi="仿宋_GB2312" w:eastAsia="仿宋_GB2312" w:cs="仿宋_GB2312"/>
          <w:color w:val="auto"/>
          <w:sz w:val="32"/>
          <w:szCs w:val="32"/>
          <w:lang w:val="en-US" w:eastAsia="zh-CN"/>
        </w:rPr>
        <w:t>可</w:t>
      </w:r>
      <w:r>
        <w:rPr>
          <w:rFonts w:hint="eastAsia" w:ascii="仿宋_GB2312" w:hAnsi="仿宋_GB2312" w:eastAsia="仿宋_GB2312" w:cs="仿宋_GB2312"/>
          <w:color w:val="auto"/>
          <w:sz w:val="32"/>
          <w:szCs w:val="32"/>
        </w:rPr>
        <w:t>适当放宽。</w:t>
      </w:r>
      <w:r>
        <w:rPr>
          <w:rFonts w:hint="eastAsia" w:ascii="仿宋_GB2312" w:hAnsi="仿宋_GB2312" w:eastAsia="仿宋_GB2312" w:cs="仿宋_GB2312"/>
          <w:color w:val="auto"/>
          <w:sz w:val="32"/>
          <w:szCs w:val="32"/>
          <w:lang w:val="en-US" w:eastAsia="zh-CN"/>
        </w:rPr>
        <w:t>而该要求高于大部分深圳市其他区图书馆和上级主管部门的要求。对馆员的学历要求较高本意是建设专业人才队伍，但对馆员的要求学历较高，</w:t>
      </w:r>
      <w:r>
        <w:rPr>
          <w:rFonts w:hint="eastAsia" w:ascii="仿宋_GB2312" w:hAnsi="仿宋_GB2312" w:eastAsia="仿宋_GB2312" w:cs="仿宋_GB2312"/>
          <w:b/>
          <w:bCs/>
          <w:color w:val="auto"/>
          <w:sz w:val="32"/>
          <w:szCs w:val="32"/>
          <w:lang w:val="en-US" w:eastAsia="zh-CN"/>
        </w:rPr>
        <w:t>一方面</w:t>
      </w:r>
      <w:r>
        <w:rPr>
          <w:rFonts w:hint="eastAsia" w:ascii="仿宋_GB2312" w:hAnsi="仿宋_GB2312" w:eastAsia="仿宋_GB2312" w:cs="仿宋_GB2312"/>
          <w:b w:val="0"/>
          <w:bCs w:val="0"/>
          <w:color w:val="auto"/>
          <w:sz w:val="32"/>
          <w:szCs w:val="32"/>
          <w:lang w:val="en-US" w:eastAsia="zh-CN"/>
        </w:rPr>
        <w:t>是</w:t>
      </w:r>
      <w:r>
        <w:rPr>
          <w:rFonts w:hint="eastAsia" w:ascii="仿宋_GB2312" w:hAnsi="仿宋_GB2312" w:eastAsia="仿宋_GB2312" w:cs="仿宋_GB2312"/>
          <w:color w:val="auto"/>
          <w:sz w:val="32"/>
          <w:szCs w:val="32"/>
          <w:lang w:val="en-US" w:eastAsia="zh-CN"/>
        </w:rPr>
        <w:t>薪资不符合馆员心理预期，导致流动率较高，不利于馆员队伍的稳定性建设。</w:t>
      </w:r>
      <w:r>
        <w:rPr>
          <w:rFonts w:hint="eastAsia" w:ascii="仿宋_GB2312" w:hAnsi="仿宋_GB2312" w:eastAsia="仿宋_GB2312" w:cs="仿宋_GB2312"/>
          <w:b/>
          <w:bCs/>
          <w:color w:val="auto"/>
          <w:sz w:val="32"/>
          <w:szCs w:val="32"/>
          <w:lang w:val="en-US" w:eastAsia="zh-CN"/>
        </w:rPr>
        <w:t>另一方面</w:t>
      </w:r>
      <w:r>
        <w:rPr>
          <w:rFonts w:hint="eastAsia" w:ascii="仿宋_GB2312" w:hAnsi="仿宋_GB2312" w:eastAsia="仿宋_GB2312" w:cs="仿宋_GB2312"/>
          <w:color w:val="auto"/>
          <w:sz w:val="32"/>
          <w:szCs w:val="32"/>
          <w:lang w:val="en-US" w:eastAsia="zh-CN"/>
        </w:rPr>
        <w:t>，馆员的学历要求和工作能力要求不完全匹配，</w:t>
      </w:r>
      <w:r>
        <w:rPr>
          <w:rFonts w:hint="eastAsia" w:ascii="仿宋_GB2312" w:hAnsi="仿宋_GB2312" w:eastAsia="仿宋_GB2312" w:cs="仿宋_GB2312"/>
          <w:color w:val="auto"/>
          <w:sz w:val="32"/>
          <w:szCs w:val="32"/>
        </w:rPr>
        <w:t>使</w:t>
      </w:r>
      <w:r>
        <w:rPr>
          <w:rFonts w:hint="eastAsia" w:ascii="仿宋_GB2312" w:hAnsi="仿宋_GB2312" w:eastAsia="仿宋_GB2312" w:cs="仿宋_GB2312"/>
          <w:color w:val="auto"/>
          <w:sz w:val="32"/>
          <w:szCs w:val="32"/>
          <w:lang w:val="en-US" w:eastAsia="zh-CN"/>
        </w:rPr>
        <w:t>馆员</w:t>
      </w:r>
      <w:r>
        <w:rPr>
          <w:rFonts w:hint="eastAsia" w:ascii="仿宋_GB2312" w:hAnsi="仿宋_GB2312" w:eastAsia="仿宋_GB2312" w:cs="仿宋_GB2312"/>
          <w:color w:val="auto"/>
          <w:sz w:val="32"/>
          <w:szCs w:val="32"/>
        </w:rPr>
        <w:t>不能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人尽其才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，造成人力资源的浪费和用人成本的提高。</w:t>
      </w:r>
      <w:bookmarkEnd w:id="271"/>
    </w:p>
    <w:p>
      <w:pPr>
        <w:pStyle w:val="27"/>
        <w:keepNext w:val="0"/>
        <w:keepLines w:val="0"/>
        <w:pageBreakBefore w:val="0"/>
        <w:widowControl/>
        <w:kinsoku/>
        <w:wordWrap/>
        <w:overflowPunct/>
        <w:topLinePunct w:val="0"/>
        <w:autoSpaceDE/>
        <w:autoSpaceDN/>
        <w:bidi w:val="0"/>
        <w:spacing w:line="560" w:lineRule="exact"/>
        <w:ind w:firstLine="640" w:firstLineChars="200"/>
        <w:textAlignment w:val="auto"/>
        <w:rPr>
          <w:rFonts w:cs="Times New Roman"/>
          <w:b w:val="0"/>
          <w:bCs/>
          <w:color w:val="auto"/>
        </w:rPr>
      </w:pPr>
      <w:bookmarkStart w:id="272" w:name="_Toc28455"/>
      <w:bookmarkStart w:id="273" w:name="_Toc30027"/>
      <w:bookmarkStart w:id="274" w:name="_Toc24276"/>
      <w:bookmarkStart w:id="275" w:name="_Toc13486"/>
      <w:bookmarkStart w:id="276" w:name="_Toc3608"/>
      <w:bookmarkStart w:id="277" w:name="_Toc6367"/>
      <w:bookmarkStart w:id="278" w:name="_Toc7015"/>
      <w:bookmarkStart w:id="279" w:name="_Toc1766"/>
      <w:bookmarkStart w:id="280" w:name="_Toc14160"/>
      <w:bookmarkStart w:id="281" w:name="_Toc29867"/>
      <w:bookmarkStart w:id="282" w:name="_Toc12368"/>
      <w:bookmarkStart w:id="283" w:name="_Toc21681"/>
      <w:r>
        <w:rPr>
          <w:rFonts w:cs="Times New Roman"/>
          <w:b w:val="0"/>
          <w:bCs/>
          <w:color w:val="auto"/>
        </w:rPr>
        <w:t>（</w:t>
      </w:r>
      <w:r>
        <w:rPr>
          <w:rFonts w:hint="eastAsia" w:cs="Times New Roman"/>
          <w:b w:val="0"/>
          <w:bCs/>
          <w:color w:val="auto"/>
          <w:lang w:val="en-US" w:eastAsia="zh-CN"/>
        </w:rPr>
        <w:t>五</w:t>
      </w:r>
      <w:r>
        <w:rPr>
          <w:rFonts w:cs="Times New Roman"/>
          <w:b w:val="0"/>
          <w:bCs/>
          <w:color w:val="auto"/>
        </w:rPr>
        <w:t>）分馆分布不均衡，个别分馆选址不合理</w:t>
      </w:r>
      <w:bookmarkEnd w:id="259"/>
      <w:bookmarkEnd w:id="260"/>
      <w:bookmarkEnd w:id="261"/>
      <w:bookmarkEnd w:id="262"/>
      <w:bookmarkEnd w:id="263"/>
      <w:bookmarkEnd w:id="264"/>
      <w:bookmarkEnd w:id="265"/>
      <w:bookmarkEnd w:id="266"/>
      <w:bookmarkEnd w:id="267"/>
      <w:bookmarkEnd w:id="268"/>
      <w:bookmarkEnd w:id="269"/>
      <w:bookmarkEnd w:id="270"/>
      <w:bookmarkEnd w:id="272"/>
      <w:bookmarkEnd w:id="273"/>
      <w:bookmarkEnd w:id="274"/>
      <w:bookmarkEnd w:id="275"/>
      <w:bookmarkEnd w:id="276"/>
      <w:bookmarkEnd w:id="277"/>
      <w:bookmarkEnd w:id="278"/>
      <w:bookmarkEnd w:id="279"/>
      <w:bookmarkEnd w:id="280"/>
      <w:bookmarkEnd w:id="281"/>
      <w:bookmarkEnd w:id="282"/>
      <w:bookmarkEnd w:id="283"/>
    </w:p>
    <w:p>
      <w:pPr>
        <w:pStyle w:val="28"/>
        <w:keepNext w:val="0"/>
        <w:keepLines w:val="0"/>
        <w:pageBreakBefore w:val="0"/>
        <w:widowControl/>
        <w:numPr>
          <w:ilvl w:val="2"/>
          <w:numId w:val="0"/>
        </w:numPr>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b w:val="0"/>
          <w:color w:val="auto"/>
        </w:rPr>
      </w:pPr>
      <w:r>
        <w:rPr>
          <w:rFonts w:hint="eastAsia" w:ascii="仿宋_GB2312" w:hAnsi="仿宋_GB2312" w:eastAsia="仿宋_GB2312" w:cs="仿宋_GB2312"/>
          <w:bCs/>
          <w:color w:val="auto"/>
        </w:rPr>
        <w:t>一是分馆分布不均衡。</w:t>
      </w:r>
      <w:r>
        <w:rPr>
          <w:rFonts w:hint="eastAsia" w:ascii="仿宋_GB2312" w:hAnsi="仿宋_GB2312" w:eastAsia="仿宋_GB2312" w:cs="仿宋_GB2312"/>
          <w:b w:val="0"/>
          <w:color w:val="auto"/>
        </w:rPr>
        <w:t>截至目前，区图书馆有37个直属分馆，分布在全区11个街道。从分布情况来看，坂田街道最多，有6个</w:t>
      </w:r>
      <w:r>
        <w:rPr>
          <w:rFonts w:hint="eastAsia" w:ascii="仿宋_GB2312" w:hAnsi="仿宋_GB2312" w:cs="仿宋_GB2312"/>
          <w:b w:val="0"/>
          <w:color w:val="auto"/>
          <w:lang w:eastAsia="zh-CN"/>
        </w:rPr>
        <w:t>，</w:t>
      </w:r>
      <w:r>
        <w:rPr>
          <w:rFonts w:hint="eastAsia" w:ascii="仿宋_GB2312" w:hAnsi="仿宋_GB2312" w:eastAsia="仿宋_GB2312" w:cs="仿宋_GB2312"/>
          <w:b w:val="0"/>
          <w:color w:val="auto"/>
        </w:rPr>
        <w:t>而园山街道最少，只有1个。</w:t>
      </w:r>
      <w:r>
        <w:rPr>
          <w:rFonts w:hint="eastAsia" w:ascii="仿宋_GB2312" w:hAnsi="仿宋_GB2312" w:eastAsia="仿宋_GB2312" w:cs="仿宋_GB2312"/>
          <w:b w:val="0"/>
          <w:color w:val="auto"/>
          <w:lang w:val="en-US" w:eastAsia="zh-CN"/>
        </w:rPr>
        <w:t>一方面，园山街道无区域分馆（社区图书馆），</w:t>
      </w:r>
      <w:r>
        <w:rPr>
          <w:rFonts w:hint="eastAsia" w:ascii="仿宋_GB2312" w:hAnsi="仿宋_GB2312" w:eastAsia="仿宋_GB2312" w:cs="仿宋_GB2312"/>
          <w:b w:val="0"/>
          <w:color w:val="auto"/>
        </w:rPr>
        <w:t>仅有的园山街道分馆位于街道辖区南部，分馆面积仅260平方米，且选址并非在园山人口密度最大的社区。</w:t>
      </w:r>
      <w:r>
        <w:rPr>
          <w:rFonts w:hint="eastAsia" w:ascii="仿宋_GB2312" w:hAnsi="仿宋_GB2312" w:eastAsia="仿宋_GB2312" w:cs="仿宋_GB2312"/>
          <w:b w:val="0"/>
          <w:color w:val="auto"/>
          <w:lang w:val="en-US" w:eastAsia="zh-CN"/>
        </w:rPr>
        <w:t>另一方面，</w:t>
      </w:r>
      <w:r>
        <w:rPr>
          <w:rFonts w:hint="eastAsia" w:ascii="仿宋_GB2312" w:hAnsi="仿宋_GB2312" w:eastAsia="仿宋_GB2312" w:cs="仿宋_GB2312"/>
          <w:b w:val="0"/>
          <w:color w:val="auto"/>
        </w:rPr>
        <w:t>南湾街道拥有4个分馆，其中南湾街道分馆和吉厦社区分馆步行距离仅为500米，服务人群基本重合</w:t>
      </w:r>
      <w:r>
        <w:rPr>
          <w:rFonts w:hint="eastAsia" w:ascii="仿宋_GB2312" w:hAnsi="仿宋_GB2312" w:eastAsia="仿宋_GB2312" w:cs="仿宋_GB2312"/>
          <w:b w:val="0"/>
          <w:color w:val="auto"/>
          <w:lang w:eastAsia="zh-CN"/>
        </w:rPr>
        <w:t>。</w:t>
      </w:r>
      <w:r>
        <w:rPr>
          <w:rFonts w:hint="eastAsia" w:ascii="仿宋_GB2312" w:hAnsi="仿宋_GB2312" w:eastAsia="仿宋_GB2312" w:cs="仿宋_GB2312"/>
          <w:b/>
          <w:bCs/>
          <w:color w:val="auto"/>
          <w:lang w:val="en-US" w:eastAsia="zh-CN"/>
        </w:rPr>
        <w:t>二是个别分馆选址不合理。</w:t>
      </w:r>
      <w:r>
        <w:rPr>
          <w:rFonts w:hint="eastAsia" w:ascii="仿宋_GB2312" w:hAnsi="仿宋_GB2312" w:eastAsia="仿宋_GB2312" w:cs="仿宋_GB2312"/>
          <w:b w:val="0"/>
          <w:color w:val="auto"/>
        </w:rPr>
        <w:t>实地调查发现，南湾街道分馆</w:t>
      </w:r>
      <w:r>
        <w:rPr>
          <w:rFonts w:hint="eastAsia" w:ascii="仿宋_GB2312" w:hAnsi="仿宋_GB2312" w:eastAsia="仿宋_GB2312" w:cs="仿宋_GB2312"/>
          <w:b w:val="0"/>
          <w:color w:val="auto"/>
          <w:lang w:val="en-US" w:eastAsia="zh-CN"/>
        </w:rPr>
        <w:t>位于城中村丹竹头社区党群服务中心后面一楼栋的二楼，村口有关卡且图书馆并非从党群服务中心的正门进出，</w:t>
      </w:r>
      <w:r>
        <w:rPr>
          <w:rFonts w:hint="eastAsia" w:ascii="仿宋_GB2312" w:hAnsi="仿宋_GB2312" w:eastAsia="仿宋_GB2312" w:cs="仿宋_GB2312"/>
          <w:b w:val="0"/>
          <w:color w:val="auto"/>
        </w:rPr>
        <w:t>位置较偏僻且外部无明显指示牌和标志。</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hint="default" w:eastAsia="楷体_GB2312" w:cs="Times New Roman"/>
          <w:b w:val="0"/>
          <w:bCs/>
          <w:color w:val="auto"/>
          <w:lang w:val="en-US" w:eastAsia="zh-CN"/>
        </w:rPr>
      </w:pPr>
      <w:bookmarkStart w:id="284" w:name="_Toc900"/>
      <w:bookmarkStart w:id="285" w:name="_Toc13528"/>
      <w:bookmarkStart w:id="286" w:name="_Toc20507"/>
      <w:bookmarkStart w:id="287" w:name="_Toc27930"/>
      <w:bookmarkStart w:id="288" w:name="_Toc5008"/>
      <w:bookmarkStart w:id="289" w:name="_Toc106792924"/>
      <w:bookmarkStart w:id="290" w:name="_Toc6073"/>
      <w:bookmarkStart w:id="291" w:name="_Toc20309"/>
      <w:bookmarkStart w:id="292" w:name="_Toc16799"/>
      <w:bookmarkStart w:id="293" w:name="_Toc28118"/>
      <w:bookmarkStart w:id="294" w:name="_Toc11161"/>
      <w:bookmarkStart w:id="295" w:name="_Toc16198"/>
      <w:bookmarkStart w:id="296" w:name="_Toc9920"/>
      <w:bookmarkStart w:id="297" w:name="_Toc20464"/>
      <w:bookmarkStart w:id="298" w:name="_Toc6508"/>
      <w:bookmarkStart w:id="299" w:name="_Toc23941"/>
      <w:bookmarkStart w:id="300" w:name="_Toc26853"/>
      <w:bookmarkStart w:id="301" w:name="_Toc1477"/>
      <w:bookmarkStart w:id="302" w:name="_Toc16795"/>
      <w:bookmarkStart w:id="303" w:name="_Toc15927"/>
      <w:bookmarkStart w:id="304" w:name="_Toc14629"/>
      <w:bookmarkStart w:id="305" w:name="_Toc26364"/>
      <w:bookmarkStart w:id="306" w:name="_Toc26023"/>
      <w:bookmarkStart w:id="307" w:name="_Toc955"/>
      <w:r>
        <w:rPr>
          <w:rFonts w:cs="Times New Roman"/>
          <w:b w:val="0"/>
          <w:bCs/>
          <w:color w:val="auto"/>
        </w:rPr>
        <w:t>（</w:t>
      </w:r>
      <w:r>
        <w:rPr>
          <w:rFonts w:hint="eastAsia" w:cs="Times New Roman"/>
          <w:b w:val="0"/>
          <w:bCs/>
          <w:color w:val="auto"/>
          <w:lang w:val="en-US" w:eastAsia="zh-CN"/>
        </w:rPr>
        <w:t>六</w:t>
      </w:r>
      <w:r>
        <w:rPr>
          <w:rFonts w:cs="Times New Roman"/>
          <w:b w:val="0"/>
          <w:bCs/>
          <w:color w:val="auto"/>
        </w:rPr>
        <w:t>）绩效指标设置</w:t>
      </w:r>
      <w:r>
        <w:rPr>
          <w:rFonts w:hint="eastAsia" w:cs="Times New Roman"/>
          <w:b w:val="0"/>
          <w:bCs/>
          <w:color w:val="auto"/>
          <w:lang w:val="en-US" w:eastAsia="zh-CN"/>
        </w:rPr>
        <w:t>不够全面，</w:t>
      </w:r>
      <w:r>
        <w:rPr>
          <w:rFonts w:cs="Times New Roman"/>
          <w:b w:val="0"/>
          <w:bCs/>
          <w:color w:val="auto"/>
        </w:rPr>
        <w:t>量化</w:t>
      </w:r>
      <w:r>
        <w:rPr>
          <w:rFonts w:hint="eastAsia" w:cs="Times New Roman"/>
          <w:b w:val="0"/>
          <w:bCs/>
          <w:color w:val="auto"/>
          <w:lang w:val="en-US" w:eastAsia="zh-CN"/>
        </w:rPr>
        <w:t>细化</w:t>
      </w:r>
      <w:r>
        <w:rPr>
          <w:rFonts w:cs="Times New Roman"/>
          <w:b w:val="0"/>
          <w:bCs/>
          <w:color w:val="auto"/>
        </w:rPr>
        <w:t>程度不足</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29"/>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区图书馆设置了项目绩效目标，并对绩效目标分解细化，但</w:t>
      </w:r>
      <w:r>
        <w:rPr>
          <w:rFonts w:hint="eastAsia" w:ascii="仿宋_GB2312" w:hAnsi="仿宋_GB2312" w:eastAsia="仿宋_GB2312" w:cs="仿宋_GB2312"/>
          <w:color w:val="auto"/>
          <w:lang w:val="en-US" w:eastAsia="zh-CN"/>
        </w:rPr>
        <w:t>存在以下不足。</w:t>
      </w:r>
      <w:r>
        <w:rPr>
          <w:rFonts w:hint="eastAsia" w:ascii="仿宋_GB2312" w:hAnsi="仿宋_GB2312" w:eastAsia="仿宋_GB2312" w:cs="仿宋_GB2312"/>
          <w:b/>
          <w:bCs/>
          <w:color w:val="auto"/>
        </w:rPr>
        <w:t>一是</w:t>
      </w:r>
      <w:r>
        <w:rPr>
          <w:rFonts w:hint="eastAsia" w:ascii="仿宋_GB2312" w:hAnsi="仿宋_GB2312" w:eastAsia="仿宋_GB2312" w:cs="仿宋_GB2312"/>
          <w:color w:val="auto"/>
        </w:rPr>
        <w:t>绩效指标未凸显部分关键业务，如阅读推广活动经费约占总分馆一体化购买服务的20%，但绩效目标未设置活动场次、活动参与人数等产出指标。</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color w:val="auto"/>
        </w:rPr>
        <w:t>绩效</w:t>
      </w:r>
      <w:r>
        <w:rPr>
          <w:rFonts w:hint="eastAsia" w:ascii="仿宋_GB2312" w:hAnsi="仿宋_GB2312" w:eastAsia="仿宋_GB2312" w:cs="仿宋_GB2312"/>
          <w:color w:val="auto"/>
          <w:lang w:val="en-US" w:eastAsia="zh-CN"/>
        </w:rPr>
        <w:t>指标</w:t>
      </w:r>
      <w:r>
        <w:rPr>
          <w:rFonts w:hint="eastAsia" w:ascii="仿宋_GB2312" w:hAnsi="仿宋_GB2312" w:eastAsia="仿宋_GB2312" w:cs="仿宋_GB2312"/>
          <w:color w:val="auto"/>
        </w:rPr>
        <w:t>量化细化程度不足，如生态效益指标“减少总分馆普通读者证占比”，可持续发展指标“总分馆服务体系建设可持续发展”，绩效指标值可衡量性不足</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难以对后续绩效运行监控产生约束和引导作用</w:t>
      </w:r>
      <w:r>
        <w:rPr>
          <w:rFonts w:hint="eastAsia" w:ascii="仿宋_GB2312" w:hAnsi="仿宋_GB2312" w:eastAsia="仿宋_GB2312" w:cs="仿宋_GB2312"/>
          <w:color w:val="auto"/>
          <w:lang w:eastAsia="zh-CN"/>
        </w:rPr>
        <w:t>。</w:t>
      </w:r>
    </w:p>
    <w:p>
      <w:pPr>
        <w:pStyle w:val="26"/>
        <w:keepNext w:val="0"/>
        <w:keepLines w:val="0"/>
        <w:pageBreakBefore w:val="0"/>
        <w:widowControl/>
        <w:kinsoku/>
        <w:wordWrap/>
        <w:overflowPunct/>
        <w:topLinePunct w:val="0"/>
        <w:autoSpaceDE/>
        <w:autoSpaceDN/>
        <w:bidi w:val="0"/>
        <w:adjustRightInd w:val="0"/>
        <w:snapToGrid w:val="0"/>
        <w:spacing w:line="560" w:lineRule="exact"/>
        <w:ind w:firstLine="640"/>
        <w:textAlignment w:val="auto"/>
        <w:rPr>
          <w:rFonts w:cs="Times New Roman"/>
          <w:b w:val="0"/>
          <w:color w:val="auto"/>
        </w:rPr>
      </w:pPr>
      <w:bookmarkStart w:id="308" w:name="_Toc9275"/>
      <w:bookmarkStart w:id="309" w:name="_Toc25691"/>
      <w:bookmarkStart w:id="310" w:name="_Toc488"/>
      <w:bookmarkStart w:id="311" w:name="_Toc782"/>
      <w:bookmarkStart w:id="312" w:name="_Toc16215"/>
      <w:bookmarkStart w:id="313" w:name="_Toc11199"/>
      <w:bookmarkStart w:id="314" w:name="_Toc12073"/>
      <w:bookmarkStart w:id="315" w:name="_Toc106792925"/>
      <w:bookmarkStart w:id="316" w:name="_Toc26119"/>
      <w:bookmarkStart w:id="317" w:name="_Toc19115"/>
      <w:bookmarkStart w:id="318" w:name="_Toc26408"/>
      <w:bookmarkStart w:id="319" w:name="_Toc17414"/>
      <w:bookmarkStart w:id="320" w:name="_Toc9801"/>
      <w:bookmarkStart w:id="321" w:name="_Toc27010"/>
      <w:bookmarkStart w:id="322" w:name="_Toc15574"/>
      <w:bookmarkStart w:id="323" w:name="_Toc9906"/>
      <w:bookmarkStart w:id="324" w:name="_Toc24497"/>
      <w:bookmarkStart w:id="325" w:name="_Toc18959"/>
      <w:bookmarkStart w:id="326" w:name="_Toc20908"/>
      <w:bookmarkStart w:id="327" w:name="_Toc24907"/>
      <w:bookmarkStart w:id="328" w:name="_Toc24782"/>
      <w:bookmarkStart w:id="329" w:name="_Toc143"/>
      <w:bookmarkStart w:id="330" w:name="_Toc13206"/>
      <w:bookmarkStart w:id="331" w:name="_Toc29966"/>
      <w:r>
        <w:rPr>
          <w:rFonts w:hint="eastAsia" w:cs="Times New Roman"/>
          <w:b w:val="0"/>
          <w:color w:val="auto"/>
          <w:lang w:eastAsia="zh-CN"/>
        </w:rPr>
        <w:t>四</w:t>
      </w:r>
      <w:r>
        <w:rPr>
          <w:rFonts w:cs="Times New Roman"/>
          <w:b w:val="0"/>
          <w:color w:val="auto"/>
        </w:rPr>
        <w:t>、相关建议</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332" w:name="_Toc9051"/>
      <w:bookmarkStart w:id="333" w:name="_Toc10647"/>
      <w:bookmarkStart w:id="334" w:name="_Toc3428"/>
      <w:bookmarkStart w:id="335" w:name="_Toc18893"/>
      <w:bookmarkStart w:id="336" w:name="_Toc5447"/>
      <w:bookmarkStart w:id="337" w:name="_Toc1283"/>
      <w:bookmarkStart w:id="338" w:name="_Toc16298"/>
      <w:bookmarkStart w:id="339" w:name="_Toc7419"/>
      <w:bookmarkStart w:id="340" w:name="_Toc20791"/>
      <w:bookmarkStart w:id="341" w:name="_Toc26270"/>
      <w:bookmarkStart w:id="342" w:name="_Toc26622"/>
      <w:bookmarkStart w:id="343" w:name="_Toc1699"/>
      <w:bookmarkStart w:id="344" w:name="_Toc6575"/>
      <w:bookmarkStart w:id="345" w:name="_Toc13822"/>
      <w:bookmarkStart w:id="346" w:name="_Toc26419"/>
      <w:bookmarkStart w:id="347" w:name="_Toc4370"/>
      <w:bookmarkStart w:id="348" w:name="_Toc10875"/>
      <w:bookmarkStart w:id="349" w:name="_Toc24335"/>
      <w:bookmarkStart w:id="350" w:name="_Toc15925"/>
      <w:bookmarkStart w:id="351" w:name="_Toc835"/>
      <w:bookmarkStart w:id="352" w:name="_Toc106792926"/>
      <w:bookmarkStart w:id="353" w:name="_Toc27965"/>
      <w:bookmarkStart w:id="354" w:name="_Toc29944"/>
      <w:bookmarkStart w:id="355" w:name="_Toc23536"/>
      <w:r>
        <w:rPr>
          <w:rFonts w:cs="Times New Roman"/>
          <w:b w:val="0"/>
          <w:bCs/>
          <w:color w:val="auto"/>
        </w:rPr>
        <w:t>（一）</w:t>
      </w:r>
      <w:r>
        <w:rPr>
          <w:rFonts w:hint="eastAsia" w:cs="Times New Roman"/>
          <w:b w:val="0"/>
          <w:bCs/>
          <w:color w:val="auto"/>
        </w:rPr>
        <w:t>规范合同签订管理，强化合同全过程管控</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29"/>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 xml:space="preserve"> </w:t>
      </w:r>
      <w:r>
        <w:rPr>
          <w:rFonts w:hint="eastAsia" w:ascii="仿宋_GB2312" w:hAnsi="仿宋_GB2312" w:eastAsia="仿宋_GB2312" w:cs="仿宋_GB2312"/>
          <w:b/>
          <w:bCs/>
          <w:color w:val="auto"/>
        </w:rPr>
        <w:t>一是</w:t>
      </w:r>
      <w:r>
        <w:rPr>
          <w:rFonts w:hint="eastAsia" w:ascii="仿宋_GB2312" w:hAnsi="仿宋_GB2312" w:eastAsia="仿宋_GB2312" w:cs="仿宋_GB2312"/>
          <w:color w:val="auto"/>
        </w:rPr>
        <w:t>合同订立时，</w:t>
      </w:r>
      <w:r>
        <w:rPr>
          <w:rFonts w:hint="eastAsia" w:ascii="仿宋_GB2312" w:hAnsi="仿宋_GB2312" w:eastAsia="仿宋_GB2312" w:cs="仿宋_GB2312"/>
          <w:color w:val="auto"/>
          <w:lang w:eastAsia="zh-CN"/>
        </w:rPr>
        <w:t>应</w:t>
      </w:r>
      <w:r>
        <w:rPr>
          <w:rFonts w:hint="eastAsia" w:ascii="仿宋_GB2312" w:hAnsi="仿宋_GB2312" w:eastAsia="仿宋_GB2312" w:cs="仿宋_GB2312"/>
          <w:color w:val="auto"/>
        </w:rPr>
        <w:t>合理预见合同履行过程中可能出现的风险，设置相关违约条款</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预防合同履行中可能存在的纠纷</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建议区图书馆重点针对服务中断、服务终止等特殊情形设置减少甲方价款支付、约定乙方承担违约金等条款。</w:t>
      </w:r>
    </w:p>
    <w:p>
      <w:pPr>
        <w:pStyle w:val="29"/>
        <w:keepNext w:val="0"/>
        <w:keepLines w:val="0"/>
        <w:pageBreakBefore w:val="0"/>
        <w:widowControl/>
        <w:kinsoku/>
        <w:wordWrap/>
        <w:overflowPunct/>
        <w:topLinePunct w:val="0"/>
        <w:autoSpaceDE/>
        <w:autoSpaceDN/>
        <w:bidi w:val="0"/>
        <w:spacing w:line="560" w:lineRule="exact"/>
        <w:ind w:firstLine="643"/>
        <w:textAlignment w:val="auto"/>
        <w:rPr>
          <w:rFonts w:hint="eastAsia" w:ascii="仿宋_GB2312" w:hAnsi="仿宋_GB2312" w:eastAsia="仿宋_GB2312" w:cs="仿宋_GB2312"/>
          <w:color w:val="auto"/>
        </w:rPr>
      </w:pPr>
      <w:r>
        <w:rPr>
          <w:rFonts w:hint="eastAsia" w:ascii="仿宋_GB2312" w:hAnsi="仿宋_GB2312" w:eastAsia="仿宋_GB2312" w:cs="仿宋_GB2312"/>
          <w:b/>
          <w:bCs/>
          <w:color w:val="auto"/>
        </w:rPr>
        <w:t>二是</w:t>
      </w:r>
      <w:r>
        <w:rPr>
          <w:rFonts w:hint="eastAsia" w:ascii="仿宋_GB2312" w:hAnsi="仿宋_GB2312" w:eastAsia="仿宋_GB2312" w:cs="仿宋_GB2312"/>
          <w:color w:val="auto"/>
        </w:rPr>
        <w:t>合同执行中，</w:t>
      </w:r>
      <w:r>
        <w:rPr>
          <w:rFonts w:hint="eastAsia" w:ascii="仿宋_GB2312" w:hAnsi="仿宋_GB2312" w:eastAsia="仿宋_GB2312" w:cs="仿宋_GB2312"/>
          <w:color w:val="auto"/>
          <w:lang w:eastAsia="zh-CN"/>
        </w:rPr>
        <w:t>针对可能</w:t>
      </w:r>
      <w:r>
        <w:rPr>
          <w:rFonts w:hint="eastAsia" w:ascii="仿宋_GB2312" w:hAnsi="仿宋_GB2312" w:eastAsia="仿宋_GB2312" w:cs="仿宋_GB2312"/>
          <w:color w:val="auto"/>
        </w:rPr>
        <w:t>出现</w:t>
      </w:r>
      <w:r>
        <w:rPr>
          <w:rFonts w:hint="eastAsia" w:ascii="仿宋_GB2312" w:hAnsi="仿宋_GB2312" w:eastAsia="仿宋_GB2312" w:cs="仿宋_GB2312"/>
          <w:color w:val="auto"/>
          <w:lang w:eastAsia="zh-CN"/>
        </w:rPr>
        <w:t>的</w:t>
      </w:r>
      <w:r>
        <w:rPr>
          <w:rFonts w:hint="eastAsia" w:ascii="仿宋_GB2312" w:hAnsi="仿宋_GB2312" w:eastAsia="仿宋_GB2312" w:cs="仿宋_GB2312"/>
          <w:color w:val="auto"/>
        </w:rPr>
        <w:t>约定不到位以及不可预计</w:t>
      </w:r>
      <w:r>
        <w:rPr>
          <w:rFonts w:hint="eastAsia" w:ascii="仿宋_GB2312" w:hAnsi="仿宋_GB2312" w:eastAsia="仿宋_GB2312" w:cs="仿宋_GB2312"/>
          <w:color w:val="auto"/>
          <w:lang w:eastAsia="zh-CN"/>
        </w:rPr>
        <w:t>的</w:t>
      </w:r>
      <w:r>
        <w:rPr>
          <w:rFonts w:hint="eastAsia" w:ascii="仿宋_GB2312" w:hAnsi="仿宋_GB2312" w:eastAsia="仿宋_GB2312" w:cs="仿宋_GB2312"/>
          <w:color w:val="auto"/>
        </w:rPr>
        <w:t>情形，建议区图书馆及时采取协商、签订补充协议等救济手段，并按照政府采购合同管理相关规定履行合同变更备案程序，将风险发生后的影响降到合理水平。</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hint="eastAsia" w:eastAsia="楷体_GB2312" w:cs="Times New Roman"/>
          <w:b w:val="0"/>
          <w:bCs/>
          <w:color w:val="auto"/>
          <w:lang w:eastAsia="zh-CN"/>
        </w:rPr>
      </w:pPr>
      <w:bookmarkStart w:id="356" w:name="_Toc106792927"/>
      <w:bookmarkStart w:id="357" w:name="_Toc22979"/>
      <w:bookmarkStart w:id="358" w:name="_Toc16371"/>
      <w:bookmarkStart w:id="359" w:name="_Toc21748"/>
      <w:bookmarkStart w:id="360" w:name="_Toc29441"/>
      <w:bookmarkStart w:id="361" w:name="_Toc31847"/>
      <w:bookmarkStart w:id="362" w:name="_Toc32452"/>
      <w:bookmarkStart w:id="363" w:name="_Toc29243"/>
      <w:bookmarkStart w:id="364" w:name="_Toc696"/>
      <w:bookmarkStart w:id="365" w:name="_Toc25435"/>
      <w:bookmarkStart w:id="366" w:name="_Toc13669"/>
      <w:bookmarkStart w:id="367" w:name="_Toc31355"/>
      <w:bookmarkStart w:id="368" w:name="_Toc27704"/>
      <w:bookmarkStart w:id="369" w:name="_Toc528"/>
      <w:bookmarkStart w:id="370" w:name="_Toc21739"/>
      <w:bookmarkStart w:id="371" w:name="_Toc19826"/>
      <w:bookmarkStart w:id="372" w:name="_Toc21264"/>
      <w:bookmarkStart w:id="373" w:name="_Toc14656"/>
      <w:bookmarkStart w:id="374" w:name="_Toc30758"/>
      <w:bookmarkStart w:id="375" w:name="_Toc7570"/>
      <w:bookmarkStart w:id="376" w:name="_Toc27829"/>
      <w:bookmarkStart w:id="377" w:name="_Toc9650"/>
      <w:bookmarkStart w:id="378" w:name="_Toc21738"/>
      <w:bookmarkStart w:id="379" w:name="_Toc17191"/>
      <w:r>
        <w:rPr>
          <w:rFonts w:hint="eastAsia" w:cs="Times New Roman"/>
          <w:b w:val="0"/>
          <w:bCs/>
          <w:color w:val="auto"/>
        </w:rPr>
        <w:t>（二）制定分层分类的考核标准体系，客观公正的评价各分馆运营服务情况</w:t>
      </w:r>
      <w:bookmarkEnd w:id="356"/>
      <w:r>
        <w:rPr>
          <w:rFonts w:hint="eastAsia" w:cs="Times New Roman"/>
          <w:b w:val="0"/>
          <w:bCs/>
          <w:color w:val="auto"/>
          <w:lang w:eastAsia="zh-CN"/>
        </w:rPr>
        <w:t>，强化绩效考核结果运用</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29"/>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rPr>
        <w:t>根据最新的人口普查结果，制定合理适当的项目总目标，并按照目标管理原则，分解到每年度、每个标段、每个街道分馆、每个社区分馆</w:t>
      </w:r>
      <w:r>
        <w:rPr>
          <w:rFonts w:hint="eastAsia" w:ascii="仿宋_GB2312" w:hAnsi="仿宋_GB2312" w:cs="仿宋_GB2312"/>
          <w:color w:val="auto"/>
          <w:lang w:eastAsia="zh-CN"/>
        </w:rPr>
        <w:t>。</w:t>
      </w:r>
      <w:r>
        <w:rPr>
          <w:rFonts w:hint="eastAsia" w:ascii="仿宋_GB2312" w:hAnsi="仿宋_GB2312" w:cs="仿宋_GB2312"/>
          <w:color w:val="auto"/>
        </w:rPr>
        <w:t>形成系统且完善的考核指标体系，并将标段、街道分馆、社区分馆的考核指标作为合同的有效附件，以便分类分层考核第三方服务机构的合同履行效果和总分馆制建设的实际成效。强化绩效考核结果运用，</w:t>
      </w:r>
      <w:r>
        <w:rPr>
          <w:rFonts w:hint="eastAsia" w:ascii="仿宋_GB2312" w:hAnsi="仿宋_GB2312" w:cs="仿宋_GB2312"/>
          <w:color w:val="auto"/>
          <w:lang w:val="en-US" w:eastAsia="zh-CN"/>
        </w:rPr>
        <w:t>将考核结果和合同付款金额、馆员绩效进行挂钩。对考核结果不合格的分馆，由供应商进行整改，整改后考核仍不合格，对合同进行费用的核减或提前终止合同，并将年度考核结果和馆员绩效相结合，由供应商调动馆员积极性。</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380" w:name="_Toc31212"/>
      <w:bookmarkStart w:id="381" w:name="_Toc4784"/>
      <w:bookmarkStart w:id="382" w:name="_Toc9741"/>
      <w:bookmarkStart w:id="383" w:name="_Toc8176"/>
      <w:bookmarkStart w:id="384" w:name="_Toc11009"/>
      <w:bookmarkStart w:id="385" w:name="_Toc5147"/>
      <w:bookmarkStart w:id="386" w:name="_Toc29891"/>
      <w:bookmarkStart w:id="387" w:name="_Toc18294"/>
      <w:bookmarkStart w:id="388" w:name="_Toc17318"/>
      <w:bookmarkStart w:id="389" w:name="_Toc6991"/>
      <w:bookmarkStart w:id="390" w:name="_Toc7830"/>
      <w:bookmarkStart w:id="391" w:name="_Toc3718"/>
      <w:bookmarkStart w:id="392" w:name="_Toc19505"/>
      <w:bookmarkStart w:id="393" w:name="_Toc27482"/>
      <w:bookmarkStart w:id="394" w:name="_Toc24638"/>
      <w:bookmarkStart w:id="395" w:name="_Toc18214"/>
      <w:bookmarkStart w:id="396" w:name="_Toc27577"/>
      <w:bookmarkStart w:id="397" w:name="_Toc25605"/>
      <w:bookmarkStart w:id="398" w:name="_Toc13453"/>
      <w:bookmarkStart w:id="399" w:name="_Toc15002"/>
      <w:bookmarkStart w:id="400" w:name="_Toc3301"/>
      <w:bookmarkStart w:id="401" w:name="_Toc32526"/>
      <w:bookmarkStart w:id="402" w:name="_Toc22453"/>
      <w:bookmarkStart w:id="403" w:name="_Toc106792928"/>
      <w:r>
        <w:rPr>
          <w:rFonts w:cs="Times New Roman"/>
          <w:b w:val="0"/>
          <w:bCs/>
          <w:color w:val="auto"/>
        </w:rPr>
        <w:t>（</w:t>
      </w:r>
      <w:r>
        <w:rPr>
          <w:rFonts w:hint="eastAsia" w:cs="Times New Roman"/>
          <w:b w:val="0"/>
          <w:bCs/>
          <w:color w:val="auto"/>
        </w:rPr>
        <w:t>三</w:t>
      </w:r>
      <w:r>
        <w:rPr>
          <w:rFonts w:cs="Times New Roman"/>
          <w:b w:val="0"/>
          <w:bCs/>
          <w:color w:val="auto"/>
        </w:rPr>
        <w:t>）合理调配馆员，提升馆员服务效能</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6"/>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b w:val="0"/>
          <w:bCs/>
          <w:color w:val="auto"/>
          <w:kern w:val="2"/>
          <w:sz w:val="32"/>
          <w:szCs w:val="32"/>
          <w:lang w:eastAsia="zh-CN"/>
        </w:rPr>
      </w:pPr>
      <w:r>
        <w:rPr>
          <w:rFonts w:hint="eastAsia" w:ascii="仿宋_GB2312" w:hAnsi="仿宋_GB2312" w:eastAsia="仿宋_GB2312" w:cs="仿宋_GB2312"/>
          <w:color w:val="auto"/>
          <w:kern w:val="2"/>
          <w:sz w:val="32"/>
          <w:szCs w:val="32"/>
        </w:rPr>
        <w:t>对馆员人均接待读者量（人次/人）和年员工人均流通量较低的分馆，</w:t>
      </w:r>
      <w:r>
        <w:rPr>
          <w:rFonts w:hint="eastAsia" w:ascii="仿宋_GB2312" w:hAnsi="仿宋_GB2312" w:eastAsia="仿宋_GB2312" w:cs="仿宋_GB2312"/>
          <w:color w:val="auto"/>
          <w:kern w:val="2"/>
          <w:sz w:val="32"/>
          <w:szCs w:val="32"/>
          <w:lang w:eastAsia="zh-CN"/>
        </w:rPr>
        <w:t>分析</w:t>
      </w:r>
      <w:r>
        <w:rPr>
          <w:rFonts w:hint="eastAsia" w:ascii="仿宋_GB2312" w:hAnsi="仿宋_GB2312" w:eastAsia="仿宋_GB2312" w:cs="仿宋_GB2312"/>
          <w:color w:val="auto"/>
          <w:kern w:val="2"/>
          <w:sz w:val="32"/>
          <w:szCs w:val="32"/>
        </w:rPr>
        <w:t>原因，对症下药，提升服务效能</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建议区图书馆</w:t>
      </w:r>
      <w:r>
        <w:rPr>
          <w:rFonts w:hint="eastAsia" w:ascii="仿宋_GB2312" w:hAnsi="仿宋_GB2312" w:eastAsia="仿宋_GB2312" w:cs="仿宋_GB2312"/>
          <w:b/>
          <w:bCs/>
          <w:color w:val="auto"/>
          <w:kern w:val="2"/>
          <w:sz w:val="32"/>
          <w:szCs w:val="32"/>
        </w:rPr>
        <w:t>一是</w:t>
      </w:r>
      <w:r>
        <w:rPr>
          <w:rFonts w:hint="eastAsia" w:ascii="仿宋_GB2312" w:hAnsi="仿宋_GB2312" w:eastAsia="仿宋_GB2312" w:cs="仿宋_GB2312"/>
          <w:color w:val="auto"/>
          <w:kern w:val="2"/>
          <w:sz w:val="32"/>
          <w:szCs w:val="32"/>
        </w:rPr>
        <w:t>规范分馆馆员工作，制定分馆馆员服务规范，修订分馆馆员手册，提升服务标准化。</w:t>
      </w:r>
      <w:r>
        <w:rPr>
          <w:rFonts w:hint="eastAsia" w:ascii="仿宋_GB2312" w:hAnsi="仿宋_GB2312" w:eastAsia="仿宋_GB2312" w:cs="仿宋_GB2312"/>
          <w:b/>
          <w:bCs/>
          <w:color w:val="auto"/>
          <w:kern w:val="2"/>
          <w:sz w:val="32"/>
          <w:szCs w:val="32"/>
        </w:rPr>
        <w:t>二是</w:t>
      </w:r>
      <w:r>
        <w:rPr>
          <w:rFonts w:hint="eastAsia" w:ascii="仿宋_GB2312" w:hAnsi="仿宋_GB2312" w:eastAsia="仿宋_GB2312" w:cs="仿宋_GB2312"/>
          <w:b w:val="0"/>
          <w:bCs w:val="0"/>
          <w:color w:val="auto"/>
          <w:kern w:val="2"/>
          <w:sz w:val="32"/>
          <w:szCs w:val="32"/>
          <w:lang w:val="en-US" w:eastAsia="zh-CN"/>
        </w:rPr>
        <w:t>根据分馆的人流情况、服务情况、场馆特点，</w:t>
      </w:r>
      <w:r>
        <w:rPr>
          <w:rFonts w:hint="eastAsia" w:ascii="仿宋_GB2312" w:hAnsi="仿宋_GB2312" w:eastAsia="仿宋_GB2312" w:cs="仿宋_GB2312"/>
          <w:b w:val="0"/>
          <w:bCs w:val="0"/>
          <w:color w:val="auto"/>
          <w:kern w:val="2"/>
          <w:sz w:val="32"/>
          <w:szCs w:val="32"/>
        </w:rPr>
        <w:t>合理配置馆员数量，</w:t>
      </w:r>
      <w:r>
        <w:rPr>
          <w:rFonts w:hint="eastAsia" w:ascii="仿宋_GB2312" w:hAnsi="仿宋_GB2312" w:eastAsia="仿宋_GB2312" w:cs="仿宋_GB2312"/>
          <w:b w:val="0"/>
          <w:bCs w:val="0"/>
          <w:color w:val="auto"/>
          <w:kern w:val="2"/>
          <w:sz w:val="32"/>
          <w:szCs w:val="32"/>
          <w:lang w:val="en-US" w:eastAsia="zh-CN"/>
        </w:rPr>
        <w:t>对馆员数量配置不合理的分馆予以调整。同时</w:t>
      </w:r>
      <w:r>
        <w:rPr>
          <w:rFonts w:hint="eastAsia" w:ascii="仿宋_GB2312" w:hAnsi="仿宋_GB2312" w:eastAsia="仿宋_GB2312" w:cs="仿宋_GB2312"/>
          <w:color w:val="auto"/>
          <w:kern w:val="2"/>
          <w:sz w:val="32"/>
          <w:szCs w:val="32"/>
        </w:rPr>
        <w:t>可考虑进行分片区招投标，</w:t>
      </w:r>
      <w:r>
        <w:rPr>
          <w:rFonts w:hint="eastAsia" w:ascii="仿宋_GB2312" w:hAnsi="仿宋_GB2312" w:eastAsia="仿宋_GB2312" w:cs="仿宋_GB2312"/>
          <w:color w:val="auto"/>
          <w:kern w:val="2"/>
          <w:sz w:val="32"/>
          <w:szCs w:val="32"/>
          <w:lang w:val="en-US" w:eastAsia="zh-CN"/>
        </w:rPr>
        <w:t>将龙岗区图书馆分馆划分为几个片区，将位置接近的分馆放在一个标段，</w:t>
      </w:r>
      <w:r>
        <w:rPr>
          <w:rFonts w:hint="eastAsia" w:ascii="仿宋_GB2312" w:hAnsi="仿宋_GB2312" w:eastAsia="仿宋_GB2312" w:cs="仿宋_GB2312"/>
          <w:color w:val="auto"/>
          <w:kern w:val="2"/>
          <w:sz w:val="32"/>
          <w:szCs w:val="32"/>
        </w:rPr>
        <w:t>便于</w:t>
      </w:r>
      <w:r>
        <w:rPr>
          <w:rFonts w:hint="eastAsia" w:ascii="仿宋_GB2312" w:hAnsi="仿宋_GB2312" w:eastAsia="仿宋_GB2312" w:cs="仿宋_GB2312"/>
          <w:color w:val="auto"/>
          <w:kern w:val="2"/>
          <w:sz w:val="32"/>
          <w:szCs w:val="32"/>
          <w:lang w:val="en-US" w:eastAsia="zh-CN"/>
        </w:rPr>
        <w:t>中标方对该标段的</w:t>
      </w:r>
      <w:r>
        <w:rPr>
          <w:rFonts w:hint="eastAsia" w:ascii="仿宋_GB2312" w:hAnsi="仿宋_GB2312" w:eastAsia="仿宋_GB2312" w:cs="仿宋_GB2312"/>
          <w:color w:val="auto"/>
          <w:kern w:val="2"/>
          <w:sz w:val="32"/>
          <w:szCs w:val="32"/>
        </w:rPr>
        <w:t>片区</w:t>
      </w:r>
      <w:r>
        <w:rPr>
          <w:rFonts w:hint="eastAsia" w:ascii="仿宋_GB2312" w:hAnsi="仿宋_GB2312" w:eastAsia="仿宋_GB2312" w:cs="仿宋_GB2312"/>
          <w:color w:val="auto"/>
          <w:kern w:val="2"/>
          <w:sz w:val="32"/>
          <w:szCs w:val="32"/>
          <w:lang w:val="en-US" w:eastAsia="zh-CN"/>
        </w:rPr>
        <w:t>分馆进行</w:t>
      </w:r>
      <w:r>
        <w:rPr>
          <w:rFonts w:hint="eastAsia" w:ascii="仿宋_GB2312" w:hAnsi="仿宋_GB2312" w:eastAsia="仿宋_GB2312" w:cs="仿宋_GB2312"/>
          <w:color w:val="auto"/>
          <w:kern w:val="2"/>
          <w:sz w:val="32"/>
          <w:szCs w:val="32"/>
        </w:rPr>
        <w:t>人力资源的调配。对人员安排有余力的分馆，调配馆员到更需要的</w:t>
      </w:r>
      <w:r>
        <w:rPr>
          <w:rFonts w:hint="eastAsia" w:ascii="仿宋_GB2312" w:hAnsi="仿宋_GB2312" w:eastAsia="仿宋_GB2312" w:cs="仿宋_GB2312"/>
          <w:color w:val="auto"/>
          <w:kern w:val="2"/>
          <w:sz w:val="32"/>
          <w:szCs w:val="32"/>
          <w:lang w:val="en-US" w:eastAsia="zh-CN"/>
        </w:rPr>
        <w:t>邻近</w:t>
      </w:r>
      <w:r>
        <w:rPr>
          <w:rFonts w:hint="eastAsia" w:ascii="仿宋_GB2312" w:hAnsi="仿宋_GB2312" w:eastAsia="仿宋_GB2312" w:cs="仿宋_GB2312"/>
          <w:color w:val="auto"/>
          <w:kern w:val="2"/>
          <w:sz w:val="32"/>
          <w:szCs w:val="32"/>
        </w:rPr>
        <w:t>分馆</w:t>
      </w:r>
      <w:r>
        <w:rPr>
          <w:rFonts w:hint="eastAsia" w:ascii="仿宋_GB2312" w:hAnsi="仿宋_GB2312" w:eastAsia="仿宋_GB2312" w:cs="仿宋_GB2312"/>
          <w:color w:val="auto"/>
          <w:kern w:val="2"/>
          <w:sz w:val="32"/>
          <w:szCs w:val="32"/>
          <w:lang w:val="en-US" w:eastAsia="zh-CN"/>
        </w:rPr>
        <w:t>轮换值班</w:t>
      </w:r>
      <w:r>
        <w:rPr>
          <w:rFonts w:hint="eastAsia" w:ascii="仿宋_GB2312" w:hAnsi="仿宋_GB2312" w:eastAsia="仿宋_GB2312" w:cs="仿宋_GB2312"/>
          <w:color w:val="auto"/>
          <w:kern w:val="2"/>
          <w:sz w:val="32"/>
          <w:szCs w:val="32"/>
        </w:rPr>
        <w:t>，合理安排值班班次，避免人力资源浪费，提升馆员服务效能。</w:t>
      </w:r>
      <w:bookmarkStart w:id="404" w:name="_Toc29135"/>
      <w:bookmarkStart w:id="405" w:name="_Toc22292"/>
      <w:bookmarkStart w:id="406" w:name="_Toc21933"/>
      <w:bookmarkStart w:id="407" w:name="_Toc1830"/>
      <w:bookmarkStart w:id="408" w:name="_Toc4938"/>
      <w:bookmarkStart w:id="409" w:name="_Toc12218"/>
    </w:p>
    <w:p>
      <w:pPr>
        <w:pStyle w:val="27"/>
        <w:keepNext w:val="0"/>
        <w:keepLines w:val="0"/>
        <w:pageBreakBefore w:val="0"/>
        <w:widowControl/>
        <w:kinsoku/>
        <w:wordWrap/>
        <w:overflowPunct/>
        <w:topLinePunct w:val="0"/>
        <w:autoSpaceDE/>
        <w:autoSpaceDN/>
        <w:bidi w:val="0"/>
        <w:spacing w:line="560" w:lineRule="exact"/>
        <w:ind w:firstLine="640"/>
        <w:textAlignment w:val="auto"/>
        <w:rPr>
          <w:rFonts w:hint="default" w:ascii="Times New Roman" w:hAnsi="Times New Roman" w:eastAsia="楷体_GB2312" w:cs="Times New Roman"/>
          <w:b w:val="0"/>
          <w:bCs/>
          <w:color w:val="auto"/>
          <w:kern w:val="2"/>
          <w:sz w:val="32"/>
          <w:szCs w:val="32"/>
          <w:lang w:val="en-US" w:eastAsia="zh-CN"/>
        </w:rPr>
      </w:pPr>
      <w:r>
        <w:rPr>
          <w:rFonts w:hint="default" w:ascii="Times New Roman" w:hAnsi="Times New Roman" w:eastAsia="楷体_GB2312" w:cs="Times New Roman"/>
          <w:b w:val="0"/>
          <w:bCs/>
          <w:color w:val="auto"/>
          <w:kern w:val="2"/>
          <w:sz w:val="32"/>
          <w:szCs w:val="32"/>
          <w:lang w:eastAsia="zh-CN"/>
        </w:rPr>
        <w:t>（</w:t>
      </w:r>
      <w:r>
        <w:rPr>
          <w:rFonts w:hint="default" w:ascii="Times New Roman" w:hAnsi="Times New Roman" w:eastAsia="楷体_GB2312" w:cs="Times New Roman"/>
          <w:b w:val="0"/>
          <w:bCs/>
          <w:color w:val="auto"/>
          <w:kern w:val="2"/>
          <w:sz w:val="32"/>
          <w:szCs w:val="32"/>
          <w:lang w:val="en-US" w:eastAsia="zh-CN"/>
        </w:rPr>
        <w:t>四）</w:t>
      </w:r>
      <w:r>
        <w:rPr>
          <w:rFonts w:hint="default" w:eastAsia="楷体_GB2312" w:cs="Times New Roman"/>
          <w:b w:val="0"/>
          <w:bCs/>
          <w:color w:val="auto"/>
          <w:kern w:val="2"/>
          <w:sz w:val="32"/>
          <w:szCs w:val="32"/>
          <w:lang w:val="en-US" w:eastAsia="zh-CN"/>
        </w:rPr>
        <w:t>合理调整馆员学历要求，适当控制用人成本</w:t>
      </w:r>
      <w:bookmarkEnd w:id="404"/>
      <w:bookmarkEnd w:id="405"/>
      <w:bookmarkEnd w:id="406"/>
      <w:bookmarkEnd w:id="407"/>
      <w:bookmarkEnd w:id="408"/>
      <w:bookmarkEnd w:id="409"/>
    </w:p>
    <w:p>
      <w:pPr>
        <w:pStyle w:val="6"/>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Cs w:val="0"/>
          <w:color w:val="auto"/>
          <w:kern w:val="2"/>
          <w:sz w:val="32"/>
          <w:szCs w:val="32"/>
          <w:lang w:val="en-US" w:eastAsia="zh-CN"/>
        </w:rPr>
        <w:t>建议根据分馆服务要求和岗位职能需求，对分馆服务人员进行岗位分类，设置项目总负责人、分馆副馆长（即分馆业务管理人员）、阅读推广人员、分馆辅助人员等。对管理人员、阅读推广人员等对项目管理能力、策划推广能力有一定要求的人员，学历标准设置在全日制本科或以上。</w:t>
      </w:r>
      <w:r>
        <w:rPr>
          <w:rFonts w:hint="eastAsia" w:ascii="仿宋_GB2312" w:hAnsi="仿宋_GB2312" w:eastAsia="仿宋_GB2312" w:cs="仿宋_GB2312"/>
          <w:color w:val="auto"/>
          <w:kern w:val="2"/>
          <w:sz w:val="32"/>
          <w:szCs w:val="32"/>
        </w:rPr>
        <w:t>适当放宽辅助人员学历要求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bCs w:val="0"/>
          <w:color w:val="auto"/>
          <w:kern w:val="2"/>
          <w:sz w:val="32"/>
          <w:szCs w:val="32"/>
          <w:lang w:val="en-US" w:eastAsia="zh-CN"/>
        </w:rPr>
        <w:t>分馆辅助人员学历设置在大专以上，加强岗前培训和合同期间定期培训。建立专业馆员队伍梯级薪酬制度，适当</w:t>
      </w:r>
      <w:r>
        <w:rPr>
          <w:rFonts w:hint="eastAsia" w:ascii="仿宋_GB2312" w:hAnsi="仿宋_GB2312" w:eastAsia="仿宋_GB2312" w:cs="仿宋_GB2312"/>
          <w:color w:val="auto"/>
          <w:kern w:val="2"/>
          <w:sz w:val="32"/>
          <w:szCs w:val="32"/>
        </w:rPr>
        <w:t>控制用人成本</w:t>
      </w:r>
      <w:r>
        <w:rPr>
          <w:rFonts w:hint="eastAsia" w:ascii="仿宋_GB2312" w:hAnsi="仿宋_GB2312" w:eastAsia="仿宋_GB2312" w:cs="仿宋_GB2312"/>
          <w:bCs w:val="0"/>
          <w:color w:val="auto"/>
          <w:kern w:val="2"/>
          <w:sz w:val="32"/>
          <w:szCs w:val="32"/>
          <w:lang w:val="en-US" w:eastAsia="zh-CN"/>
        </w:rPr>
        <w:t>。</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410" w:name="_Toc18221"/>
      <w:bookmarkStart w:id="411" w:name="_Toc23901"/>
      <w:bookmarkStart w:id="412" w:name="_Toc19016"/>
      <w:bookmarkStart w:id="413" w:name="_Toc20039"/>
      <w:bookmarkStart w:id="414" w:name="_Toc21529"/>
      <w:bookmarkStart w:id="415" w:name="_Toc21066"/>
      <w:bookmarkStart w:id="416" w:name="_Toc2307"/>
      <w:bookmarkStart w:id="417" w:name="_Toc1682"/>
      <w:bookmarkStart w:id="418" w:name="_Toc8708"/>
      <w:bookmarkStart w:id="419" w:name="_Toc12771"/>
      <w:bookmarkStart w:id="420" w:name="_Toc21430"/>
      <w:bookmarkStart w:id="421" w:name="_Toc19421"/>
      <w:bookmarkStart w:id="422" w:name="_Toc3567"/>
      <w:bookmarkStart w:id="423" w:name="_Toc23156"/>
      <w:bookmarkStart w:id="424" w:name="_Toc6629"/>
      <w:bookmarkStart w:id="425" w:name="_Toc26467"/>
      <w:bookmarkStart w:id="426" w:name="_Toc379"/>
      <w:bookmarkStart w:id="427" w:name="_Toc17277"/>
      <w:bookmarkStart w:id="428" w:name="_Toc21262"/>
      <w:bookmarkStart w:id="429" w:name="_Toc10174"/>
      <w:bookmarkStart w:id="430" w:name="_Toc17944"/>
      <w:bookmarkStart w:id="431" w:name="_Toc8008"/>
      <w:bookmarkStart w:id="432" w:name="_Toc10500"/>
      <w:bookmarkStart w:id="433" w:name="_Toc106792929"/>
      <w:r>
        <w:rPr>
          <w:rFonts w:cs="Times New Roman"/>
          <w:b w:val="0"/>
          <w:bCs/>
          <w:color w:val="auto"/>
        </w:rPr>
        <w:t>（</w:t>
      </w:r>
      <w:r>
        <w:rPr>
          <w:rFonts w:hint="eastAsia" w:cs="Times New Roman"/>
          <w:b w:val="0"/>
          <w:bCs/>
          <w:color w:val="auto"/>
          <w:lang w:val="en-US" w:eastAsia="zh-CN"/>
        </w:rPr>
        <w:t>五</w:t>
      </w:r>
      <w:r>
        <w:rPr>
          <w:rFonts w:cs="Times New Roman"/>
          <w:b w:val="0"/>
          <w:bCs/>
          <w:color w:val="auto"/>
        </w:rPr>
        <w:t>）做好预先筹划，逐步推进优化分馆布局</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6"/>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建议区图书馆做好预先筹划，在运营过程中逐步优化调整分馆布局，实施</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优胜劣汰</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的淘汰撤馆机制。</w:t>
      </w:r>
      <w:r>
        <w:rPr>
          <w:rFonts w:hint="eastAsia" w:ascii="仿宋_GB2312" w:hAnsi="仿宋_GB2312" w:eastAsia="仿宋_GB2312" w:cs="仿宋_GB2312"/>
          <w:b/>
          <w:bCs/>
          <w:color w:val="auto"/>
          <w:kern w:val="2"/>
          <w:sz w:val="32"/>
          <w:szCs w:val="32"/>
        </w:rPr>
        <w:t>首先，</w:t>
      </w:r>
      <w:r>
        <w:rPr>
          <w:rFonts w:hint="eastAsia" w:ascii="仿宋_GB2312" w:hAnsi="仿宋_GB2312" w:eastAsia="仿宋_GB2312" w:cs="仿宋_GB2312"/>
          <w:color w:val="auto"/>
          <w:kern w:val="2"/>
          <w:sz w:val="32"/>
          <w:szCs w:val="32"/>
        </w:rPr>
        <w:t>对服务人口少、办馆效益差，且附近有分馆或其他社区馆的，就近合并，不再单独建馆。</w:t>
      </w:r>
      <w:r>
        <w:rPr>
          <w:rFonts w:hint="eastAsia" w:ascii="仿宋_GB2312" w:hAnsi="仿宋_GB2312" w:eastAsia="仿宋_GB2312" w:cs="仿宋_GB2312"/>
          <w:b/>
          <w:bCs/>
          <w:color w:val="auto"/>
          <w:kern w:val="2"/>
          <w:sz w:val="32"/>
          <w:szCs w:val="32"/>
        </w:rPr>
        <w:t>其次，</w:t>
      </w:r>
      <w:r>
        <w:rPr>
          <w:rFonts w:hint="eastAsia" w:ascii="仿宋_GB2312" w:hAnsi="仿宋_GB2312" w:eastAsia="仿宋_GB2312" w:cs="仿宋_GB2312"/>
          <w:color w:val="auto"/>
          <w:kern w:val="2"/>
          <w:sz w:val="32"/>
          <w:szCs w:val="32"/>
        </w:rPr>
        <w:t>对撤并图书馆的社区，只设立社区图书室，作为总馆的馆外流通点，提供报刊阅览服务。</w:t>
      </w:r>
      <w:r>
        <w:rPr>
          <w:rFonts w:hint="eastAsia" w:ascii="仿宋_GB2312" w:hAnsi="仿宋_GB2312" w:eastAsia="仿宋_GB2312" w:cs="仿宋_GB2312"/>
          <w:b/>
          <w:bCs/>
          <w:color w:val="auto"/>
          <w:kern w:val="2"/>
          <w:sz w:val="32"/>
          <w:szCs w:val="32"/>
        </w:rPr>
        <w:t>再次，</w:t>
      </w:r>
      <w:r>
        <w:rPr>
          <w:rFonts w:hint="eastAsia" w:ascii="仿宋_GB2312" w:hAnsi="仿宋_GB2312" w:eastAsia="仿宋_GB2312" w:cs="仿宋_GB2312"/>
          <w:color w:val="auto"/>
          <w:kern w:val="2"/>
          <w:sz w:val="32"/>
          <w:szCs w:val="32"/>
        </w:rPr>
        <w:t>根据《深圳市龙岗区文体旅游发展</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十四五</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规划》，11个街道级文体中心</w:t>
      </w:r>
      <w:r>
        <w:rPr>
          <w:rFonts w:hint="eastAsia" w:ascii="仿宋_GB2312" w:hAnsi="仿宋_GB2312" w:eastAsia="仿宋_GB2312" w:cs="仿宋_GB2312"/>
          <w:color w:val="auto"/>
          <w:kern w:val="2"/>
          <w:sz w:val="32"/>
          <w:szCs w:val="32"/>
          <w:lang w:eastAsia="zh-CN"/>
        </w:rPr>
        <w:t>将于近三年</w:t>
      </w:r>
      <w:r>
        <w:rPr>
          <w:rFonts w:hint="eastAsia" w:ascii="仿宋_GB2312" w:hAnsi="仿宋_GB2312" w:eastAsia="仿宋_GB2312" w:cs="仿宋_GB2312"/>
          <w:color w:val="auto"/>
          <w:kern w:val="2"/>
          <w:sz w:val="32"/>
          <w:szCs w:val="32"/>
        </w:rPr>
        <w:t>投入使用，图书馆</w:t>
      </w:r>
      <w:r>
        <w:rPr>
          <w:rFonts w:hint="eastAsia" w:ascii="仿宋_GB2312" w:hAnsi="仿宋_GB2312" w:eastAsia="仿宋_GB2312" w:cs="仿宋_GB2312"/>
          <w:color w:val="auto"/>
          <w:kern w:val="2"/>
          <w:sz w:val="32"/>
          <w:szCs w:val="32"/>
          <w:lang w:val="en-US" w:eastAsia="zh-CN"/>
        </w:rPr>
        <w:t>街道</w:t>
      </w:r>
      <w:r>
        <w:rPr>
          <w:rFonts w:hint="eastAsia" w:ascii="仿宋_GB2312" w:hAnsi="仿宋_GB2312" w:eastAsia="仿宋_GB2312" w:cs="仿宋_GB2312"/>
          <w:color w:val="auto"/>
          <w:kern w:val="2"/>
          <w:sz w:val="32"/>
          <w:szCs w:val="32"/>
        </w:rPr>
        <w:t>分馆</w:t>
      </w:r>
      <w:r>
        <w:rPr>
          <w:rFonts w:hint="eastAsia" w:ascii="仿宋_GB2312" w:hAnsi="仿宋_GB2312" w:eastAsia="仿宋_GB2312" w:cs="仿宋_GB2312"/>
          <w:color w:val="auto"/>
          <w:kern w:val="2"/>
          <w:sz w:val="32"/>
          <w:szCs w:val="32"/>
          <w:lang w:val="en-US" w:eastAsia="zh-CN"/>
        </w:rPr>
        <w:t>馆舍</w:t>
      </w:r>
      <w:r>
        <w:rPr>
          <w:rFonts w:hint="eastAsia" w:ascii="仿宋_GB2312" w:hAnsi="仿宋_GB2312" w:eastAsia="仿宋_GB2312" w:cs="仿宋_GB2312"/>
          <w:color w:val="auto"/>
          <w:kern w:val="2"/>
          <w:sz w:val="32"/>
          <w:szCs w:val="32"/>
        </w:rPr>
        <w:t>面积、区位优势</w:t>
      </w:r>
      <w:r>
        <w:rPr>
          <w:rFonts w:hint="eastAsia" w:ascii="仿宋_GB2312" w:hAnsi="仿宋_GB2312" w:eastAsia="仿宋_GB2312" w:cs="仿宋_GB2312"/>
          <w:color w:val="auto"/>
          <w:kern w:val="2"/>
          <w:sz w:val="32"/>
          <w:szCs w:val="32"/>
          <w:lang w:eastAsia="zh-CN"/>
        </w:rPr>
        <w:t>将</w:t>
      </w:r>
      <w:r>
        <w:rPr>
          <w:rFonts w:hint="eastAsia" w:ascii="仿宋_GB2312" w:hAnsi="仿宋_GB2312" w:eastAsia="仿宋_GB2312" w:cs="仿宋_GB2312"/>
          <w:color w:val="auto"/>
          <w:kern w:val="2"/>
          <w:sz w:val="32"/>
          <w:szCs w:val="32"/>
        </w:rPr>
        <w:t>大幅提升，届时及时对原图书馆街道分馆进行搬迁、</w:t>
      </w:r>
      <w:r>
        <w:rPr>
          <w:rFonts w:hint="eastAsia" w:ascii="仿宋_GB2312" w:hAnsi="仿宋_GB2312" w:eastAsia="仿宋_GB2312" w:cs="仿宋_GB2312"/>
          <w:color w:val="auto"/>
          <w:kern w:val="2"/>
          <w:sz w:val="32"/>
          <w:szCs w:val="32"/>
          <w:lang w:val="en-US" w:eastAsia="zh-CN"/>
        </w:rPr>
        <w:t>对新街道分馆附近的社区分馆和区域分馆进行撤销、</w:t>
      </w:r>
      <w:r>
        <w:rPr>
          <w:rFonts w:hint="eastAsia" w:ascii="仿宋_GB2312" w:hAnsi="仿宋_GB2312" w:eastAsia="仿宋_GB2312" w:cs="仿宋_GB2312"/>
          <w:color w:val="auto"/>
          <w:kern w:val="2"/>
          <w:sz w:val="32"/>
          <w:szCs w:val="32"/>
        </w:rPr>
        <w:t>合并，</w:t>
      </w:r>
      <w:r>
        <w:rPr>
          <w:rFonts w:hint="eastAsia" w:ascii="仿宋_GB2312" w:hAnsi="仿宋_GB2312" w:eastAsia="仿宋_GB2312" w:cs="仿宋_GB2312"/>
          <w:color w:val="auto"/>
          <w:kern w:val="2"/>
          <w:sz w:val="32"/>
          <w:szCs w:val="32"/>
          <w:lang w:val="en-US" w:eastAsia="zh-CN"/>
        </w:rPr>
        <w:t>在</w:t>
      </w:r>
      <w:r>
        <w:rPr>
          <w:rFonts w:hint="eastAsia" w:ascii="仿宋_GB2312" w:hAnsi="仿宋_GB2312" w:eastAsia="仿宋_GB2312" w:cs="仿宋_GB2312"/>
          <w:color w:val="auto"/>
          <w:kern w:val="2"/>
          <w:sz w:val="32"/>
          <w:szCs w:val="32"/>
        </w:rPr>
        <w:t>服务更多辖区人口</w:t>
      </w:r>
      <w:r>
        <w:rPr>
          <w:rFonts w:hint="eastAsia" w:ascii="仿宋_GB2312" w:hAnsi="仿宋_GB2312" w:eastAsia="仿宋_GB2312" w:cs="仿宋_GB2312"/>
          <w:color w:val="auto"/>
          <w:kern w:val="2"/>
          <w:sz w:val="32"/>
          <w:szCs w:val="32"/>
          <w:lang w:val="en-US" w:eastAsia="zh-CN"/>
        </w:rPr>
        <w:t>的同时</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逐步优化图书馆布局，合理使用财政资金，提高财政资金使用效益</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b/>
          <w:bCs/>
          <w:color w:val="auto"/>
          <w:kern w:val="2"/>
          <w:sz w:val="32"/>
          <w:szCs w:val="32"/>
          <w:lang w:val="en-US" w:eastAsia="zh-CN"/>
        </w:rPr>
        <w:t>最后</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根据《实施方案》要求，龙岗区</w:t>
      </w:r>
      <w:r>
        <w:rPr>
          <w:rFonts w:hint="eastAsia" w:ascii="仿宋_GB2312" w:hAnsi="仿宋_GB2312" w:eastAsia="仿宋_GB2312" w:cs="仿宋_GB2312"/>
          <w:color w:val="auto"/>
          <w:kern w:val="2"/>
          <w:sz w:val="32"/>
          <w:szCs w:val="32"/>
          <w:lang w:val="en-US" w:eastAsia="zh-CN"/>
        </w:rPr>
        <w:t>图书馆</w:t>
      </w:r>
      <w:r>
        <w:rPr>
          <w:rFonts w:hint="eastAsia" w:ascii="仿宋_GB2312" w:hAnsi="仿宋_GB2312" w:eastAsia="仿宋_GB2312" w:cs="仿宋_GB2312"/>
          <w:color w:val="auto"/>
          <w:kern w:val="2"/>
          <w:sz w:val="32"/>
          <w:szCs w:val="32"/>
        </w:rPr>
        <w:t>未来一定时间内仍需新增分馆，但</w:t>
      </w:r>
      <w:r>
        <w:rPr>
          <w:rFonts w:hint="eastAsia" w:ascii="仿宋_GB2312" w:hAnsi="仿宋_GB2312" w:eastAsia="仿宋_GB2312" w:cs="仿宋_GB2312"/>
          <w:color w:val="auto"/>
          <w:kern w:val="2"/>
          <w:sz w:val="32"/>
          <w:szCs w:val="32"/>
          <w:lang w:val="en-US" w:eastAsia="zh-CN"/>
        </w:rPr>
        <w:t>应</w:t>
      </w:r>
      <w:r>
        <w:rPr>
          <w:rFonts w:hint="eastAsia" w:ascii="仿宋_GB2312" w:hAnsi="仿宋_GB2312" w:eastAsia="仿宋_GB2312" w:cs="仿宋_GB2312"/>
          <w:color w:val="auto"/>
          <w:kern w:val="2"/>
          <w:sz w:val="32"/>
          <w:szCs w:val="32"/>
        </w:rPr>
        <w:t>结合</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实施方案》</w:t>
      </w:r>
      <w:r>
        <w:rPr>
          <w:rFonts w:hint="eastAsia" w:ascii="仿宋_GB2312" w:hAnsi="仿宋_GB2312" w:eastAsia="仿宋_GB2312" w:cs="仿宋_GB2312"/>
          <w:color w:val="auto"/>
          <w:kern w:val="2"/>
          <w:sz w:val="32"/>
          <w:szCs w:val="32"/>
        </w:rPr>
        <w:t>《深圳市龙岗区文体旅游发展“十四五”规划》和《深圳市“图书馆之城”建设规划（2021</w:t>
      </w:r>
      <w:r>
        <w:rPr>
          <w:rFonts w:hint="default"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2025年）》</w:t>
      </w:r>
      <w:r>
        <w:rPr>
          <w:rFonts w:hint="eastAsia" w:ascii="仿宋_GB2312" w:hAnsi="仿宋_GB2312" w:eastAsia="仿宋_GB2312" w:cs="仿宋_GB2312"/>
          <w:color w:val="auto"/>
          <w:kern w:val="2"/>
          <w:sz w:val="32"/>
          <w:szCs w:val="32"/>
          <w:lang w:val="en-US" w:eastAsia="zh-CN"/>
        </w:rPr>
        <w:t>等文件的</w:t>
      </w:r>
      <w:r>
        <w:rPr>
          <w:rFonts w:hint="eastAsia" w:ascii="仿宋_GB2312" w:hAnsi="仿宋_GB2312" w:eastAsia="仿宋_GB2312" w:cs="仿宋_GB2312"/>
          <w:color w:val="auto"/>
          <w:kern w:val="2"/>
          <w:sz w:val="32"/>
          <w:szCs w:val="32"/>
        </w:rPr>
        <w:t>要求</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新增分馆不能轻质量重数量，应考虑</w:t>
      </w:r>
      <w:r>
        <w:rPr>
          <w:rFonts w:hint="eastAsia" w:ascii="仿宋_GB2312" w:hAnsi="仿宋_GB2312" w:eastAsia="仿宋_GB2312" w:cs="仿宋_GB2312"/>
          <w:color w:val="auto"/>
          <w:kern w:val="2"/>
          <w:sz w:val="32"/>
          <w:szCs w:val="32"/>
          <w:lang w:val="en-US" w:eastAsia="zh-CN"/>
        </w:rPr>
        <w:t>龙岗区文体旅游发展的未来规划、</w:t>
      </w:r>
      <w:r>
        <w:rPr>
          <w:rFonts w:hint="eastAsia" w:ascii="仿宋_GB2312" w:hAnsi="仿宋_GB2312" w:eastAsia="仿宋_GB2312" w:cs="仿宋_GB2312"/>
          <w:color w:val="auto"/>
          <w:kern w:val="2"/>
          <w:sz w:val="32"/>
          <w:szCs w:val="32"/>
        </w:rPr>
        <w:t>社区现实情况、以及总馆、街道分馆的实际统管能力，</w:t>
      </w:r>
      <w:r>
        <w:rPr>
          <w:rFonts w:hint="eastAsia" w:ascii="仿宋_GB2312" w:hAnsi="仿宋_GB2312" w:eastAsia="仿宋_GB2312" w:cs="仿宋_GB2312"/>
          <w:color w:val="auto"/>
          <w:kern w:val="2"/>
          <w:sz w:val="32"/>
          <w:szCs w:val="32"/>
          <w:lang w:val="en-US" w:eastAsia="zh-CN"/>
        </w:rPr>
        <w:t>待新街道分馆建成后，</w:t>
      </w:r>
      <w:r>
        <w:rPr>
          <w:rFonts w:hint="eastAsia" w:ascii="仿宋_GB2312" w:hAnsi="仿宋_GB2312" w:eastAsia="仿宋_GB2312" w:cs="仿宋_GB2312"/>
          <w:color w:val="auto"/>
          <w:kern w:val="2"/>
          <w:sz w:val="32"/>
          <w:szCs w:val="32"/>
        </w:rPr>
        <w:t>逐步推进，合理布局</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慎重新增学校分馆。</w:t>
      </w:r>
    </w:p>
    <w:p>
      <w:pPr>
        <w:pStyle w:val="27"/>
        <w:keepNext w:val="0"/>
        <w:keepLines w:val="0"/>
        <w:pageBreakBefore w:val="0"/>
        <w:widowControl/>
        <w:kinsoku/>
        <w:wordWrap/>
        <w:overflowPunct/>
        <w:topLinePunct w:val="0"/>
        <w:autoSpaceDE/>
        <w:autoSpaceDN/>
        <w:bidi w:val="0"/>
        <w:spacing w:line="560" w:lineRule="exact"/>
        <w:ind w:firstLine="640"/>
        <w:textAlignment w:val="auto"/>
        <w:rPr>
          <w:rFonts w:cs="Times New Roman"/>
          <w:b w:val="0"/>
          <w:bCs/>
          <w:color w:val="auto"/>
        </w:rPr>
      </w:pPr>
      <w:bookmarkStart w:id="434" w:name="_Toc111"/>
      <w:bookmarkStart w:id="435" w:name="_Toc1752"/>
      <w:bookmarkStart w:id="436" w:name="_Toc14334"/>
      <w:bookmarkStart w:id="437" w:name="_Toc5844"/>
      <w:bookmarkStart w:id="438" w:name="_Toc23891"/>
      <w:bookmarkStart w:id="439" w:name="_Toc23985"/>
      <w:bookmarkStart w:id="440" w:name="_Toc2776"/>
      <w:bookmarkStart w:id="441" w:name="_Toc31456"/>
      <w:bookmarkStart w:id="442" w:name="_Toc106792930"/>
      <w:bookmarkStart w:id="443" w:name="_Toc1482"/>
      <w:bookmarkStart w:id="444" w:name="_Toc5153"/>
      <w:bookmarkStart w:id="445" w:name="_Toc27871"/>
      <w:bookmarkStart w:id="446" w:name="_Toc1088"/>
      <w:bookmarkStart w:id="447" w:name="_Toc8803"/>
      <w:bookmarkStart w:id="448" w:name="_Toc31092"/>
      <w:bookmarkStart w:id="449" w:name="_Toc20503"/>
      <w:bookmarkStart w:id="450" w:name="_Toc29973"/>
      <w:bookmarkStart w:id="451" w:name="_Toc6376"/>
      <w:bookmarkStart w:id="452" w:name="_Toc26855"/>
      <w:bookmarkStart w:id="453" w:name="_Toc30454"/>
      <w:bookmarkStart w:id="454" w:name="_Toc32421"/>
      <w:bookmarkStart w:id="455" w:name="_Toc13"/>
      <w:bookmarkStart w:id="456" w:name="_Toc14316"/>
      <w:bookmarkStart w:id="457" w:name="_Toc20494"/>
      <w:r>
        <w:rPr>
          <w:rFonts w:cs="Times New Roman"/>
          <w:b w:val="0"/>
          <w:bCs/>
          <w:color w:val="auto"/>
        </w:rPr>
        <w:t>（</w:t>
      </w:r>
      <w:r>
        <w:rPr>
          <w:rFonts w:hint="eastAsia" w:cs="Times New Roman"/>
          <w:b w:val="0"/>
          <w:bCs/>
          <w:color w:val="auto"/>
          <w:lang w:val="en-US" w:eastAsia="zh-CN"/>
        </w:rPr>
        <w:t>六</w:t>
      </w:r>
      <w:r>
        <w:rPr>
          <w:rFonts w:cs="Times New Roman"/>
          <w:b w:val="0"/>
          <w:bCs/>
          <w:color w:val="auto"/>
        </w:rPr>
        <w:t>）合理设置绩效目标，充分发挥绩效目标对预算编制执行的引导约束和控制作用</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29"/>
        <w:keepNext w:val="0"/>
        <w:keepLines w:val="0"/>
        <w:pageBreakBefore w:val="0"/>
        <w:widowControl/>
        <w:kinsoku/>
        <w:wordWrap/>
        <w:overflowPunct/>
        <w:topLinePunct w:val="0"/>
        <w:autoSpaceDE/>
        <w:autoSpaceDN/>
        <w:bidi w:val="0"/>
        <w:spacing w:line="560" w:lineRule="exact"/>
        <w:ind w:firstLine="64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建议区图书馆在明确项目总体政策目标上，分解细化并明确完成的工作任务并制定相应的细化指标，科学设置指标值，避免选用难以确定具体指标值、标准不明确或缺乏约束力的指标，以充分发挥绩效目标对预算编制执行的引导约束和控制作用。此外，设置指标时按照高度关联、重点突出、量化易评的原则设置绩效指标</w:t>
      </w:r>
      <w:r>
        <w:rPr>
          <w:rFonts w:hint="eastAsia" w:ascii="仿宋_GB2312" w:hAnsi="仿宋_GB2312" w:eastAsia="仿宋_GB2312" w:cs="仿宋_GB2312"/>
          <w:color w:val="auto"/>
          <w:lang w:eastAsia="zh-CN"/>
        </w:rPr>
        <w:t>。</w:t>
      </w:r>
    </w:p>
    <w:sectPr>
      <w:headerReference r:id="rId3" w:type="default"/>
      <w:footerReference r:id="rId5" w:type="default"/>
      <w:headerReference r:id="rId4" w:type="even"/>
      <w:footerReference r:id="rId6" w:type="even"/>
      <w:pgSz w:w="11906" w:h="16838"/>
      <w:pgMar w:top="1701" w:right="1474" w:bottom="1701" w:left="1587" w:header="851" w:footer="964"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9 -</w:t>
    </w:r>
    <w:r>
      <w:rPr>
        <w:rFonts w:ascii="宋体" w:eastAsia="宋体"/>
        <w:sz w:val="28"/>
        <w:szCs w:val="28"/>
      </w:rPr>
      <w:fldChar w:fldCharType="end"/>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ind w:firstLine="0" w:firstLineChars="0"/>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14 -</w:t>
    </w:r>
    <w:r>
      <w:rPr>
        <w:rFonts w:ascii="宋体" w:eastAsia="宋体"/>
        <w:sz w:val="28"/>
        <w:szCs w:val="28"/>
      </w:rPr>
      <w:fldChar w:fldCharType="end"/>
    </w:r>
    <w:r>
      <w:rPr>
        <w:rFonts w:ascii="宋体" w:eastAsia="宋体"/>
        <w:sz w:val="28"/>
        <w:szCs w:val="28"/>
      </w:rPr>
      <w:tab/>
    </w:r>
  </w:p>
  <w:p>
    <w:pPr>
      <w:pStyle w:val="11"/>
      <w:ind w:firstLine="0" w:firstLineChars="0"/>
      <w:rPr>
        <w:rFonts w:ascii="宋体" w:eastAsia="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suff w:val="nothing"/>
      <w:lvlText w:val="%1、"/>
      <w:lvlJc w:val="left"/>
      <w:pPr>
        <w:ind w:left="6521" w:firstLine="0"/>
      </w:pPr>
      <w:rPr>
        <w:rFonts w:hint="eastAsia" w:ascii="Times New Roman" w:hAnsi="Times New Roman"/>
        <w:b w:val="0"/>
        <w:bCs w:val="0"/>
        <w:i w:val="0"/>
        <w:iCs w:val="0"/>
        <w:caps w:val="0"/>
        <w:smallCaps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chineseCountingThousand"/>
      <w:suff w:val="nothing"/>
      <w:lvlText w:val="（%2）"/>
      <w:lvlJc w:val="left"/>
      <w:pPr>
        <w:ind w:left="2693" w:firstLine="0"/>
      </w:pPr>
      <w:rPr>
        <w:rFonts w:ascii="Times New Roman" w:hAnsi="Times New Roman" w:cs="Times New Roman"/>
        <w:b w:val="0"/>
        <w:bCs w:val="0"/>
        <w:i w:val="0"/>
        <w:iCs w:val="0"/>
        <w:caps w:val="0"/>
        <w:smallCaps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28"/>
      <w:suff w:val="space"/>
      <w:lvlText w:val="%3."/>
      <w:lvlJc w:val="left"/>
      <w:pPr>
        <w:ind w:left="708" w:firstLine="0"/>
      </w:pPr>
      <w:rPr>
        <w:b/>
        <w:bCs w:val="0"/>
        <w:i w:val="0"/>
        <w:iCs w:val="0"/>
        <w:caps w:val="0"/>
        <w:smallCaps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documentProtection w:enforcement="0"/>
  <w:defaultTabStop w:val="420"/>
  <w:evenAndOddHeaders w:val="1"/>
  <w:drawingGridHorizontalSpacing w:val="105"/>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NWIzOTRiM2Q3OWMwMWUwZDEwMDVhOWYxOWUyNjEifQ=="/>
  </w:docVars>
  <w:rsids>
    <w:rsidRoot w:val="00000000"/>
    <w:rsid w:val="07C362E6"/>
    <w:rsid w:val="09DB288F"/>
    <w:rsid w:val="0C902A5C"/>
    <w:rsid w:val="0FFBEC06"/>
    <w:rsid w:val="1254371D"/>
    <w:rsid w:val="125A5528"/>
    <w:rsid w:val="136E3329"/>
    <w:rsid w:val="141F747A"/>
    <w:rsid w:val="15B17D5B"/>
    <w:rsid w:val="1943303E"/>
    <w:rsid w:val="24EFF7C4"/>
    <w:rsid w:val="2EFE7CA8"/>
    <w:rsid w:val="2F6D6F3E"/>
    <w:rsid w:val="37BCD310"/>
    <w:rsid w:val="3A7FB62F"/>
    <w:rsid w:val="400D6A63"/>
    <w:rsid w:val="44A02B1D"/>
    <w:rsid w:val="45C06F23"/>
    <w:rsid w:val="49FF1C6D"/>
    <w:rsid w:val="4B6712FD"/>
    <w:rsid w:val="53E32A0F"/>
    <w:rsid w:val="55D48540"/>
    <w:rsid w:val="5F0B702F"/>
    <w:rsid w:val="64DF6ABC"/>
    <w:rsid w:val="68F207FC"/>
    <w:rsid w:val="6DA75D23"/>
    <w:rsid w:val="72AC4172"/>
    <w:rsid w:val="75BDCB74"/>
    <w:rsid w:val="77E7EB27"/>
    <w:rsid w:val="7E745689"/>
    <w:rsid w:val="7F4B7598"/>
    <w:rsid w:val="7FF36F1B"/>
    <w:rsid w:val="7FF3FC2F"/>
    <w:rsid w:val="CEF623B8"/>
    <w:rsid w:val="CFDBE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qFormat="1"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4"/>
    <w:next w:val="4"/>
    <w:link w:val="39"/>
    <w:qFormat/>
    <w:uiPriority w:val="9"/>
    <w:pPr>
      <w:keepNext/>
      <w:keepLines/>
      <w:spacing w:before="340" w:after="330" w:line="578" w:lineRule="auto"/>
      <w:outlineLvl w:val="0"/>
    </w:pPr>
    <w:rPr>
      <w:rFonts w:cs="仿宋_GB2312"/>
      <w:bCs/>
      <w:kern w:val="44"/>
      <w:sz w:val="44"/>
      <w:szCs w:val="44"/>
    </w:rPr>
  </w:style>
  <w:style w:type="paragraph" w:styleId="5">
    <w:name w:val="heading 3"/>
    <w:basedOn w:val="1"/>
    <w:next w:val="1"/>
    <w:semiHidden/>
    <w:unhideWhenUsed/>
    <w:qFormat/>
    <w:uiPriority w:val="9"/>
    <w:pPr>
      <w:keepNext/>
      <w:keepLines/>
      <w:spacing w:before="260" w:after="260" w:line="416" w:lineRule="auto"/>
      <w:ind w:firstLine="640" w:firstLineChars="200"/>
      <w:outlineLvl w:val="2"/>
    </w:pPr>
    <w:rPr>
      <w:rFonts w:ascii="仿宋_GB2312" w:eastAsia="仿宋_GB2312" w:cs="仿宋_GB2312"/>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jc w:val="center"/>
    </w:pPr>
    <w:rPr>
      <w:rFonts w:eastAsia="宋体"/>
      <w:szCs w:val="24"/>
    </w:rPr>
  </w:style>
  <w:style w:type="paragraph" w:customStyle="1" w:styleId="4">
    <w:name w:val="星耀正文"/>
    <w:basedOn w:val="1"/>
    <w:qFormat/>
    <w:uiPriority w:val="3"/>
    <w:pPr>
      <w:spacing w:line="560" w:lineRule="exact"/>
      <w:ind w:firstLine="200" w:firstLineChars="200"/>
    </w:pPr>
    <w:rPr>
      <w:rFonts w:ascii="Times New Roman" w:hAnsi="Times New Roman" w:eastAsia="仿宋_GB2312" w:cs="Times New Roman"/>
      <w:kern w:val="0"/>
      <w:sz w:val="32"/>
      <w:szCs w:val="28"/>
      <w:lang w:val="zh-CN"/>
    </w:rPr>
  </w:style>
  <w:style w:type="paragraph" w:styleId="6">
    <w:name w:val="Normal Indent"/>
    <w:basedOn w:val="1"/>
    <w:semiHidden/>
    <w:unhideWhenUsed/>
    <w:qFormat/>
    <w:uiPriority w:val="99"/>
    <w:pPr>
      <w:ind w:firstLine="630"/>
    </w:pPr>
    <w:rPr>
      <w:rFonts w:ascii="Times New Roman" w:hAnsi="Times New Roman"/>
      <w:szCs w:val="20"/>
    </w:rPr>
  </w:style>
  <w:style w:type="paragraph" w:styleId="7">
    <w:name w:val="annotation text"/>
    <w:basedOn w:val="1"/>
    <w:link w:val="42"/>
    <w:semiHidden/>
    <w:unhideWhenUsed/>
    <w:qFormat/>
    <w:uiPriority w:val="99"/>
  </w:style>
  <w:style w:type="paragraph" w:styleId="8">
    <w:name w:val="toc 3"/>
    <w:basedOn w:val="1"/>
    <w:next w:val="1"/>
    <w:semiHidden/>
    <w:unhideWhenUsed/>
    <w:qFormat/>
    <w:uiPriority w:val="39"/>
    <w:pPr>
      <w:ind w:left="840" w:leftChars="400"/>
    </w:pPr>
  </w:style>
  <w:style w:type="paragraph" w:styleId="9">
    <w:name w:val="Plain Text"/>
    <w:basedOn w:val="1"/>
    <w:semiHidden/>
    <w:unhideWhenUsed/>
    <w:qFormat/>
    <w:uiPriority w:val="99"/>
    <w:rPr>
      <w:rFonts w:hAnsi="Courier New" w:cs="Courier New"/>
      <w:szCs w:val="21"/>
    </w:rPr>
  </w:style>
  <w:style w:type="paragraph" w:styleId="10">
    <w:name w:val="Balloon Text"/>
    <w:basedOn w:val="1"/>
    <w:link w:val="46"/>
    <w:unhideWhenUsed/>
    <w:qFormat/>
    <w:uiPriority w:val="99"/>
    <w:pPr>
      <w:widowControl w:val="0"/>
      <w:jc w:val="both"/>
    </w:pPr>
    <w:rPr>
      <w:rFonts w:asciiTheme="minorHAnsi" w:hAnsiTheme="minorHAnsi" w:eastAsiaTheme="minorEastAsia" w:cstheme="minorBidi"/>
      <w:kern w:val="2"/>
      <w:sz w:val="18"/>
      <w:szCs w:val="18"/>
    </w:rPr>
  </w:style>
  <w:style w:type="paragraph" w:styleId="11">
    <w:name w:val="footer"/>
    <w:basedOn w:val="1"/>
    <w:semiHidden/>
    <w:unhideWhenUsed/>
    <w:qFormat/>
    <w:uiPriority w:val="99"/>
    <w:pPr>
      <w:tabs>
        <w:tab w:val="center" w:pos="4153"/>
        <w:tab w:val="right" w:pos="8306"/>
      </w:tabs>
      <w:snapToGrid w:val="0"/>
      <w:spacing w:after="240"/>
      <w:ind w:firstLine="640" w:firstLineChars="200"/>
    </w:pPr>
    <w:rPr>
      <w:rFonts w:ascii="仿宋_GB2312" w:eastAsia="仿宋_GB2312" w:cs="仿宋_GB2312"/>
      <w:sz w:val="18"/>
      <w:szCs w:val="18"/>
    </w:rPr>
  </w:style>
  <w:style w:type="paragraph" w:styleId="12">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semiHidden/>
    <w:unhideWhenUsed/>
    <w:qFormat/>
    <w:uiPriority w:val="39"/>
    <w:pPr>
      <w:spacing w:before="120" w:after="120"/>
    </w:pPr>
    <w:rPr>
      <w:rFonts w:cs="Calibri"/>
      <w:b/>
      <w:bCs/>
      <w:caps/>
      <w:sz w:val="20"/>
      <w:szCs w:val="20"/>
    </w:rPr>
  </w:style>
  <w:style w:type="paragraph" w:styleId="14">
    <w:name w:val="footnote text"/>
    <w:basedOn w:val="1"/>
    <w:link w:val="34"/>
    <w:semiHidden/>
    <w:unhideWhenUsed/>
    <w:qFormat/>
    <w:uiPriority w:val="99"/>
    <w:pPr>
      <w:snapToGrid w:val="0"/>
      <w:spacing w:after="240"/>
      <w:ind w:firstLine="640" w:firstLineChars="200"/>
    </w:pPr>
    <w:rPr>
      <w:sz w:val="18"/>
      <w:szCs w:val="18"/>
    </w:rPr>
  </w:style>
  <w:style w:type="paragraph" w:styleId="15">
    <w:name w:val="table of figures"/>
    <w:basedOn w:val="1"/>
    <w:next w:val="1"/>
    <w:semiHidden/>
    <w:unhideWhenUsed/>
    <w:qFormat/>
    <w:uiPriority w:val="99"/>
    <w:pPr>
      <w:ind w:left="200" w:leftChars="200" w:hanging="200" w:hangingChars="200"/>
    </w:pPr>
  </w:style>
  <w:style w:type="paragraph" w:styleId="16">
    <w:name w:val="toc 2"/>
    <w:basedOn w:val="1"/>
    <w:next w:val="1"/>
    <w:semiHidden/>
    <w:unhideWhenUsed/>
    <w:qFormat/>
    <w:uiPriority w:val="39"/>
    <w:pPr>
      <w:ind w:left="210"/>
    </w:pPr>
    <w:rPr>
      <w:rFonts w:cs="Calibri"/>
      <w:smallCaps/>
      <w:sz w:val="20"/>
      <w:szCs w:val="20"/>
    </w:rPr>
  </w:style>
  <w:style w:type="paragraph" w:styleId="17">
    <w:name w:val="Normal (Web)"/>
    <w:basedOn w:val="1"/>
    <w:semiHidden/>
    <w:unhideWhenUsed/>
    <w:qFormat/>
    <w:uiPriority w:val="99"/>
    <w:pPr>
      <w:spacing w:before="100" w:beforeAutospacing="1" w:after="100" w:afterAutospacing="1"/>
    </w:pPr>
  </w:style>
  <w:style w:type="paragraph" w:styleId="18">
    <w:name w:val="annotation subject"/>
    <w:basedOn w:val="7"/>
    <w:next w:val="7"/>
    <w:link w:val="43"/>
    <w:semiHidden/>
    <w:unhideWhenUsed/>
    <w:qFormat/>
    <w:uiPriority w:val="99"/>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semiHidden/>
    <w:unhideWhenUsed/>
    <w:qFormat/>
    <w:uiPriority w:val="99"/>
    <w:rPr>
      <w:color w:val="0563C1"/>
      <w:u w:val="single"/>
    </w:rPr>
  </w:style>
  <w:style w:type="character" w:styleId="23">
    <w:name w:val="annotation reference"/>
    <w:basedOn w:val="21"/>
    <w:semiHidden/>
    <w:unhideWhenUsed/>
    <w:qFormat/>
    <w:uiPriority w:val="99"/>
    <w:rPr>
      <w:sz w:val="21"/>
      <w:szCs w:val="21"/>
    </w:rPr>
  </w:style>
  <w:style w:type="character" w:styleId="24">
    <w:name w:val="footnote reference"/>
    <w:semiHidden/>
    <w:unhideWhenUsed/>
    <w:qFormat/>
    <w:uiPriority w:val="99"/>
    <w:rPr>
      <w:vertAlign w:val="superscript"/>
    </w:rPr>
  </w:style>
  <w:style w:type="paragraph" w:customStyle="1" w:styleId="25">
    <w:name w:val="闻政正文"/>
    <w:basedOn w:val="1"/>
    <w:link w:val="44"/>
    <w:qFormat/>
    <w:uiPriority w:val="3"/>
    <w:pPr>
      <w:ind w:firstLine="200" w:firstLineChars="200"/>
    </w:pPr>
    <w:rPr>
      <w:rFonts w:ascii="仿宋_GB2312" w:hAnsi="仿宋_GB2312"/>
      <w:sz w:val="32"/>
      <w:szCs w:val="28"/>
      <w:lang w:val="zh-CN"/>
    </w:rPr>
  </w:style>
  <w:style w:type="paragraph" w:customStyle="1" w:styleId="26">
    <w:name w:val="一、"/>
    <w:next w:val="27"/>
    <w:qFormat/>
    <w:uiPriority w:val="0"/>
    <w:pPr>
      <w:spacing w:line="560" w:lineRule="exact"/>
      <w:ind w:firstLine="200" w:firstLineChars="200"/>
      <w:outlineLvl w:val="0"/>
    </w:pPr>
    <w:rPr>
      <w:rFonts w:ascii="Times New Roman" w:hAnsi="Times New Roman" w:eastAsia="黑体" w:cs="宋体"/>
      <w:b/>
      <w:color w:val="000000"/>
      <w:kern w:val="2"/>
      <w:sz w:val="32"/>
      <w:szCs w:val="32"/>
      <w:lang w:val="en-US" w:eastAsia="zh-CN" w:bidi="ar-SA"/>
    </w:rPr>
  </w:style>
  <w:style w:type="paragraph" w:customStyle="1" w:styleId="27">
    <w:name w:val="（一）"/>
    <w:next w:val="28"/>
    <w:qFormat/>
    <w:uiPriority w:val="0"/>
    <w:pPr>
      <w:spacing w:line="560" w:lineRule="exact"/>
      <w:ind w:firstLine="200" w:firstLineChars="200"/>
      <w:outlineLvl w:val="1"/>
    </w:pPr>
    <w:rPr>
      <w:rFonts w:ascii="Times New Roman" w:hAnsi="Times New Roman" w:eastAsia="楷体_GB2312" w:cs="宋体"/>
      <w:b/>
      <w:color w:val="000000"/>
      <w:kern w:val="2"/>
      <w:sz w:val="32"/>
      <w:szCs w:val="32"/>
      <w:lang w:val="en-US" w:eastAsia="zh-CN" w:bidi="ar-SA"/>
    </w:rPr>
  </w:style>
  <w:style w:type="paragraph" w:customStyle="1" w:styleId="28">
    <w:name w:val="1."/>
    <w:next w:val="29"/>
    <w:qFormat/>
    <w:uiPriority w:val="0"/>
    <w:pPr>
      <w:numPr>
        <w:ilvl w:val="2"/>
        <w:numId w:val="1"/>
      </w:numPr>
      <w:spacing w:line="560" w:lineRule="exact"/>
    </w:pPr>
    <w:rPr>
      <w:rFonts w:ascii="Times New Roman" w:hAnsi="Times New Roman" w:eastAsia="仿宋_GB2312" w:cs="宋体"/>
      <w:b/>
      <w:color w:val="000000"/>
      <w:kern w:val="2"/>
      <w:sz w:val="32"/>
      <w:szCs w:val="32"/>
      <w:lang w:val="en-US" w:eastAsia="zh-CN" w:bidi="ar-SA"/>
    </w:rPr>
  </w:style>
  <w:style w:type="paragraph" w:customStyle="1" w:styleId="29">
    <w:name w:val="新正文"/>
    <w:qFormat/>
    <w:uiPriority w:val="0"/>
    <w:pPr>
      <w:spacing w:line="579" w:lineRule="exact"/>
      <w:ind w:firstLine="200" w:firstLineChars="200"/>
      <w:jc w:val="both"/>
    </w:pPr>
    <w:rPr>
      <w:rFonts w:ascii="Times New Roman" w:hAnsi="Times New Roman" w:eastAsia="仿宋_GB2312" w:cs="宋体"/>
      <w:color w:val="000000"/>
      <w:kern w:val="2"/>
      <w:sz w:val="32"/>
      <w:szCs w:val="32"/>
      <w:lang w:val="en-US" w:eastAsia="zh-CN" w:bidi="ar-SA"/>
    </w:rPr>
  </w:style>
  <w:style w:type="paragraph" w:customStyle="1" w:styleId="30">
    <w:name w:val="公文三级标题"/>
    <w:basedOn w:val="5"/>
    <w:qFormat/>
    <w:uiPriority w:val="0"/>
    <w:pPr>
      <w:spacing w:before="0" w:after="0" w:line="560" w:lineRule="exact"/>
      <w:ind w:firstLine="200"/>
    </w:pPr>
  </w:style>
  <w:style w:type="paragraph" w:customStyle="1" w:styleId="31">
    <w:name w:val="UserStyle_0"/>
    <w:qFormat/>
    <w:uiPriority w:val="0"/>
    <w:pPr>
      <w:jc w:val="both"/>
      <w:textAlignment w:val="baseline"/>
    </w:pPr>
    <w:rPr>
      <w:rFonts w:ascii="宋体" w:hAnsi="Courier New" w:eastAsia="宋体" w:cs="Times New Roman"/>
      <w:kern w:val="2"/>
      <w:sz w:val="21"/>
      <w:szCs w:val="24"/>
      <w:lang w:val="en-US" w:eastAsia="zh-CN" w:bidi="ar-SA"/>
    </w:rPr>
  </w:style>
  <w:style w:type="table" w:customStyle="1" w:styleId="32">
    <w:name w:val="网格型2"/>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修订1"/>
    <w:qFormat/>
    <w:uiPriority w:val="99"/>
    <w:rPr>
      <w:rFonts w:ascii="Calibri" w:hAnsi="Calibri" w:eastAsia="宋体" w:cs="宋体"/>
      <w:kern w:val="2"/>
      <w:sz w:val="21"/>
      <w:szCs w:val="24"/>
      <w:lang w:val="en-US" w:eastAsia="zh-CN" w:bidi="ar-SA"/>
    </w:rPr>
  </w:style>
  <w:style w:type="character" w:customStyle="1" w:styleId="34">
    <w:name w:val="脚注文本 字符"/>
    <w:link w:val="14"/>
    <w:qFormat/>
    <w:uiPriority w:val="99"/>
    <w:rPr>
      <w:rFonts w:ascii="Calibri" w:hAnsi="Calibri" w:eastAsia="宋体" w:cs="宋体"/>
      <w:kern w:val="2"/>
      <w:sz w:val="18"/>
      <w:szCs w:val="18"/>
    </w:rPr>
  </w:style>
  <w:style w:type="character" w:customStyle="1" w:styleId="35">
    <w:name w:val="font11"/>
    <w:basedOn w:val="21"/>
    <w:qFormat/>
    <w:uiPriority w:val="0"/>
    <w:rPr>
      <w:rFonts w:hint="eastAsia" w:ascii="仿宋_GB2312" w:eastAsia="仿宋_GB2312" w:cs="仿宋_GB2312"/>
      <w:color w:val="000000"/>
      <w:sz w:val="24"/>
      <w:szCs w:val="24"/>
      <w:u w:val="none"/>
    </w:rPr>
  </w:style>
  <w:style w:type="character" w:customStyle="1" w:styleId="36">
    <w:name w:val="font71"/>
    <w:basedOn w:val="21"/>
    <w:qFormat/>
    <w:uiPriority w:val="0"/>
    <w:rPr>
      <w:rFonts w:ascii="Cambria" w:hAnsi="Cambria" w:eastAsia="Cambria" w:cs="Cambria"/>
      <w:color w:val="000000"/>
      <w:sz w:val="24"/>
      <w:szCs w:val="24"/>
      <w:u w:val="none"/>
    </w:rPr>
  </w:style>
  <w:style w:type="paragraph" w:styleId="37">
    <w:name w:val="List Paragraph"/>
    <w:basedOn w:val="1"/>
    <w:qFormat/>
    <w:uiPriority w:val="99"/>
    <w:pPr>
      <w:ind w:firstLine="420" w:firstLineChars="200"/>
    </w:pPr>
  </w:style>
  <w:style w:type="character" w:customStyle="1" w:styleId="38">
    <w:name w:val="font41"/>
    <w:basedOn w:val="21"/>
    <w:qFormat/>
    <w:uiPriority w:val="0"/>
    <w:rPr>
      <w:rFonts w:ascii="Cambria" w:hAnsi="Cambria" w:eastAsia="Cambria" w:cs="Cambria"/>
      <w:color w:val="000000"/>
      <w:sz w:val="24"/>
      <w:szCs w:val="24"/>
      <w:u w:val="none"/>
    </w:rPr>
  </w:style>
  <w:style w:type="character" w:customStyle="1" w:styleId="39">
    <w:name w:val="标题 1 字符"/>
    <w:basedOn w:val="21"/>
    <w:link w:val="3"/>
    <w:qFormat/>
    <w:uiPriority w:val="9"/>
    <w:rPr>
      <w:rFonts w:ascii="仿宋_GB2312" w:hAnsi="仿宋_GB2312" w:eastAsia="宋体" w:cs="仿宋_GB2312"/>
      <w:bCs/>
      <w:kern w:val="44"/>
      <w:sz w:val="44"/>
      <w:szCs w:val="44"/>
      <w:lang w:val="zh-CN"/>
    </w:rPr>
  </w:style>
  <w:style w:type="paragraph" w:customStyle="1" w:styleId="40">
    <w:name w:val="修订2"/>
    <w:qFormat/>
    <w:uiPriority w:val="99"/>
    <w:rPr>
      <w:rFonts w:ascii="Calibri" w:hAnsi="Calibri" w:eastAsia="宋体" w:cs="宋体"/>
      <w:kern w:val="2"/>
      <w:sz w:val="21"/>
      <w:szCs w:val="24"/>
      <w:lang w:val="en-US" w:eastAsia="zh-CN" w:bidi="ar-SA"/>
    </w:rPr>
  </w:style>
  <w:style w:type="paragraph" w:customStyle="1" w:styleId="41">
    <w:name w:val="Revision_4bce082e-2ebf-4606-977c-73f2e7bc0510"/>
    <w:qFormat/>
    <w:uiPriority w:val="99"/>
    <w:rPr>
      <w:rFonts w:ascii="宋体" w:hAnsi="宋体" w:eastAsia="宋体" w:cs="宋体"/>
      <w:sz w:val="24"/>
      <w:szCs w:val="24"/>
      <w:lang w:val="en-US" w:eastAsia="zh-CN" w:bidi="ar-SA"/>
    </w:rPr>
  </w:style>
  <w:style w:type="character" w:customStyle="1" w:styleId="42">
    <w:name w:val="批注文字 字符"/>
    <w:basedOn w:val="21"/>
    <w:link w:val="7"/>
    <w:qFormat/>
    <w:uiPriority w:val="0"/>
    <w:rPr>
      <w:rFonts w:ascii="宋体" w:hAnsi="宋体" w:cs="宋体"/>
      <w:sz w:val="24"/>
      <w:szCs w:val="24"/>
    </w:rPr>
  </w:style>
  <w:style w:type="character" w:customStyle="1" w:styleId="43">
    <w:name w:val="批注主题 字符"/>
    <w:basedOn w:val="42"/>
    <w:link w:val="18"/>
    <w:qFormat/>
    <w:uiPriority w:val="0"/>
    <w:rPr>
      <w:rFonts w:ascii="宋体" w:hAnsi="宋体" w:cs="宋体"/>
      <w:b/>
      <w:bCs/>
      <w:sz w:val="24"/>
      <w:szCs w:val="24"/>
    </w:rPr>
  </w:style>
  <w:style w:type="character" w:customStyle="1" w:styleId="44">
    <w:name w:val="闻政正文 Char"/>
    <w:link w:val="25"/>
    <w:qFormat/>
    <w:uiPriority w:val="3"/>
    <w:rPr>
      <w:rFonts w:ascii="仿宋_GB2312" w:hAnsi="仿宋_GB2312"/>
      <w:sz w:val="32"/>
      <w:szCs w:val="28"/>
      <w:lang w:val="zh-CN"/>
    </w:rPr>
  </w:style>
  <w:style w:type="character" w:customStyle="1" w:styleId="45">
    <w:name w:val="font61"/>
    <w:basedOn w:val="21"/>
    <w:qFormat/>
    <w:uiPriority w:val="0"/>
    <w:rPr>
      <w:rFonts w:ascii="Cambria" w:hAnsi="Cambria" w:eastAsia="Cambria" w:cs="Cambria"/>
      <w:color w:val="000000"/>
      <w:sz w:val="24"/>
      <w:szCs w:val="24"/>
      <w:u w:val="none"/>
    </w:rPr>
  </w:style>
  <w:style w:type="character" w:customStyle="1" w:styleId="46">
    <w:name w:val="批注框文本 Char"/>
    <w:basedOn w:val="21"/>
    <w:link w:val="10"/>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5927</Words>
  <Characters>6224</Characters>
  <Lines>1</Lines>
  <Paragraphs>1</Paragraphs>
  <TotalTime>39</TotalTime>
  <ScaleCrop>false</ScaleCrop>
  <LinksUpToDate>false</LinksUpToDate>
  <CharactersWithSpaces>6239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2016-07-31T22:32:00Z</dcterms:created>
  <dc:creator>移动收发文</dc:creator>
  <cp:lastModifiedBy>库纳</cp:lastModifiedBy>
  <cp:lastPrinted>2022-10-17T15:07:00Z</cp:lastPrinted>
  <dcterms:modified xsi:type="dcterms:W3CDTF">2022-12-15T07:31:17Z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340A9274A62F4C849B10D4C51C3C8E21</vt:lpwstr>
  </property>
</Properties>
</file>