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eastAsia="方正小标宋简体"/>
          <w:color w:val="auto"/>
          <w:sz w:val="44"/>
          <w:szCs w:val="44"/>
          <w:u w:val="none"/>
        </w:rPr>
      </w:pPr>
      <w:bookmarkStart w:id="36" w:name="_GoBack"/>
      <w:bookmarkEnd w:id="36"/>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lang w:eastAsia="zh-CN"/>
        </w:rPr>
        <w:t>深圳市</w:t>
      </w:r>
      <w:r>
        <w:rPr>
          <w:rFonts w:hint="eastAsia" w:ascii="方正小标宋简体" w:hAnsi="方正小标宋简体" w:eastAsia="方正小标宋简体" w:cs="方正小标宋简体"/>
          <w:color w:val="auto"/>
          <w:sz w:val="44"/>
          <w:szCs w:val="44"/>
          <w:u w:val="none"/>
        </w:rPr>
        <w:t>龙岗区“智慧社区”建设项目</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绩效评价报告</w:t>
      </w:r>
    </w:p>
    <w:p>
      <w:pPr>
        <w:pStyle w:val="2"/>
        <w:keepNext w:val="0"/>
        <w:keepLines w:val="0"/>
        <w:pageBreakBefore w:val="0"/>
        <w:widowControl w:val="0"/>
        <w:kinsoku/>
        <w:wordWrap/>
        <w:overflowPunct/>
        <w:topLinePunct w:val="0"/>
        <w:autoSpaceDE/>
        <w:autoSpaceDN/>
        <w:bidi w:val="0"/>
        <w:spacing w:after="0" w:line="560" w:lineRule="exact"/>
        <w:textAlignment w:val="auto"/>
        <w:rPr>
          <w:rFonts w:ascii="方正小标宋简体" w:eastAsia="方正小标宋简体"/>
          <w:color w:val="auto"/>
          <w:sz w:val="36"/>
          <w:szCs w:val="36"/>
          <w:u w:val="none"/>
        </w:rPr>
      </w:pPr>
    </w:p>
    <w:p>
      <w:pPr>
        <w:pStyle w:val="16"/>
        <w:pageBreakBefore w:val="0"/>
        <w:widowControl w:val="0"/>
        <w:kinsoku/>
        <w:wordWrap/>
        <w:overflowPunct/>
        <w:topLinePunct w:val="0"/>
        <w:autoSpaceDE/>
        <w:autoSpaceDN/>
        <w:bidi w:val="0"/>
        <w:spacing w:after="0" w:line="560" w:lineRule="exact"/>
        <w:textAlignment w:val="auto"/>
        <w:rPr>
          <w:color w:val="auto"/>
          <w:u w:val="none"/>
        </w:rPr>
      </w:pPr>
      <w:bookmarkStart w:id="0" w:name="_Toc20025"/>
      <w:bookmarkStart w:id="1" w:name="_Toc116548122"/>
      <w:bookmarkStart w:id="2" w:name="OLE_LINK6"/>
      <w:r>
        <w:rPr>
          <w:rFonts w:hint="eastAsia"/>
          <w:color w:val="auto"/>
          <w:u w:val="none"/>
        </w:rPr>
        <w:t>一、基本情况</w:t>
      </w:r>
      <w:bookmarkEnd w:id="0"/>
      <w:bookmarkEnd w:id="1"/>
    </w:p>
    <w:p>
      <w:pPr>
        <w:pStyle w:val="15"/>
        <w:pageBreakBefore w:val="0"/>
        <w:widowControl w:val="0"/>
        <w:kinsoku/>
        <w:wordWrap/>
        <w:overflowPunct/>
        <w:topLinePunct w:val="0"/>
        <w:autoSpaceDE/>
        <w:autoSpaceDN/>
        <w:bidi w:val="0"/>
        <w:spacing w:line="560" w:lineRule="exact"/>
        <w:ind w:firstLine="640"/>
        <w:textAlignment w:val="auto"/>
        <w:rPr>
          <w:rFonts w:hint="eastAsia"/>
          <w:color w:val="auto"/>
          <w:u w:val="none"/>
          <w:lang w:eastAsia="zh-CN"/>
        </w:rPr>
      </w:pPr>
      <w:r>
        <w:rPr>
          <w:rFonts w:hint="eastAsia"/>
          <w:color w:val="auto"/>
          <w:u w:val="none"/>
          <w:lang w:eastAsia="zh-CN"/>
        </w:rPr>
        <w:t>本项目由区政数局牵头，区大数据中心具体实施，主要用于建设数据赋能平台、事件分拨平台和精准服务平台，搭建新技术应用平台，推动视频专网资源共享街道和社区，开展系统平台部署和培训。</w:t>
      </w:r>
    </w:p>
    <w:p>
      <w:pPr>
        <w:pStyle w:val="15"/>
        <w:pageBreakBefore w:val="0"/>
        <w:widowControl w:val="0"/>
        <w:kinsoku/>
        <w:wordWrap/>
        <w:overflowPunct/>
        <w:topLinePunct w:val="0"/>
        <w:autoSpaceDE/>
        <w:autoSpaceDN/>
        <w:bidi w:val="0"/>
        <w:spacing w:line="560" w:lineRule="exact"/>
        <w:ind w:firstLine="640"/>
        <w:textAlignment w:val="auto"/>
        <w:rPr>
          <w:rFonts w:hint="default"/>
          <w:color w:val="auto"/>
          <w:u w:val="none"/>
          <w:lang w:val="en-US" w:eastAsia="zh-CN"/>
        </w:rPr>
      </w:pPr>
      <w:r>
        <w:rPr>
          <w:rFonts w:hint="eastAsia"/>
          <w:color w:val="auto"/>
          <w:u w:val="none"/>
          <w:lang w:eastAsia="zh-CN"/>
        </w:rPr>
        <w:t>本项目</w:t>
      </w:r>
      <w:r>
        <w:rPr>
          <w:rFonts w:hint="eastAsia"/>
          <w:color w:val="auto"/>
          <w:u w:val="none"/>
          <w:lang w:val="en-US" w:eastAsia="zh-CN"/>
        </w:rPr>
        <w:t>2021年度预算金额为1,672.6万元，实际支出金额为1,672.54万元，执行率约为99.99%。经综合评价，本项目绩效评价得分为76.33分，等级为“中”。</w:t>
      </w:r>
    </w:p>
    <w:p>
      <w:pPr>
        <w:pStyle w:val="16"/>
        <w:pageBreakBefore w:val="0"/>
        <w:widowControl w:val="0"/>
        <w:kinsoku/>
        <w:wordWrap/>
        <w:overflowPunct/>
        <w:topLinePunct w:val="0"/>
        <w:autoSpaceDE/>
        <w:autoSpaceDN/>
        <w:bidi w:val="0"/>
        <w:spacing w:after="0" w:line="560" w:lineRule="exact"/>
        <w:textAlignment w:val="auto"/>
        <w:rPr>
          <w:color w:val="auto"/>
          <w:u w:val="none"/>
        </w:rPr>
      </w:pPr>
      <w:bookmarkStart w:id="3" w:name="_Toc21822"/>
      <w:bookmarkStart w:id="4" w:name="_Toc116548134"/>
      <w:r>
        <w:rPr>
          <w:rFonts w:hint="eastAsia"/>
          <w:color w:val="auto"/>
          <w:u w:val="none"/>
          <w:lang w:eastAsia="zh-CN"/>
        </w:rPr>
        <w:t>二</w:t>
      </w:r>
      <w:r>
        <w:rPr>
          <w:rFonts w:hint="eastAsia"/>
          <w:color w:val="auto"/>
          <w:u w:val="none"/>
        </w:rPr>
        <w:t>、取得主要成效及经验</w:t>
      </w:r>
      <w:bookmarkEnd w:id="3"/>
      <w:bookmarkEnd w:id="4"/>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color w:val="auto"/>
          <w:u w:val="none"/>
        </w:rPr>
        <w:t>“智慧社区”建设项目作为“智慧龙岗2</w:t>
      </w:r>
      <w:r>
        <w:rPr>
          <w:color w:val="auto"/>
          <w:u w:val="none"/>
        </w:rPr>
        <w:t>.0</w:t>
      </w:r>
      <w:r>
        <w:rPr>
          <w:rFonts w:hint="eastAsia"/>
          <w:color w:val="auto"/>
          <w:u w:val="none"/>
        </w:rPr>
        <w:t>”的重要组成部分，是加快社区服务数字化建设，构筑美好数字服务新场景的重要举措。在推动“互联网</w:t>
      </w:r>
      <w:r>
        <w:rPr>
          <w:color w:val="auto"/>
          <w:u w:val="none"/>
        </w:rPr>
        <w:t>+政务服务</w:t>
      </w:r>
      <w:r>
        <w:rPr>
          <w:rFonts w:hint="eastAsia"/>
          <w:color w:val="auto"/>
          <w:u w:val="none"/>
        </w:rPr>
        <w:t>”</w:t>
      </w:r>
      <w:r>
        <w:rPr>
          <w:color w:val="auto"/>
          <w:u w:val="none"/>
        </w:rPr>
        <w:t>向乡镇（街道）、村（社区）延伸覆盖</w:t>
      </w:r>
      <w:r>
        <w:rPr>
          <w:rFonts w:hint="eastAsia"/>
          <w:color w:val="auto"/>
          <w:u w:val="none"/>
        </w:rPr>
        <w:t>、实施“互联网</w:t>
      </w:r>
      <w:r>
        <w:rPr>
          <w:color w:val="auto"/>
          <w:u w:val="none"/>
        </w:rPr>
        <w:t>+基层治理</w:t>
      </w:r>
      <w:r>
        <w:rPr>
          <w:rFonts w:hint="eastAsia"/>
          <w:color w:val="auto"/>
          <w:u w:val="none"/>
        </w:rPr>
        <w:t>”</w:t>
      </w:r>
      <w:r>
        <w:rPr>
          <w:color w:val="auto"/>
          <w:u w:val="none"/>
        </w:rPr>
        <w:t>行动</w:t>
      </w:r>
      <w:r>
        <w:rPr>
          <w:rFonts w:hint="eastAsia"/>
          <w:color w:val="auto"/>
          <w:u w:val="none"/>
        </w:rPr>
        <w:t xml:space="preserve">等方面具有重要意义。在建设和运营的过程中，项目取得了积极的成效，区大数据中心采取的做法也可圈可点，主要概括为以下六点： </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5" w:name="_Toc666"/>
      <w:bookmarkStart w:id="6" w:name="_Toc116548135"/>
      <w:r>
        <w:rPr>
          <w:rFonts w:hint="eastAsia"/>
          <w:b w:val="0"/>
          <w:bCs w:val="0"/>
          <w:color w:val="auto"/>
          <w:u w:val="none"/>
        </w:rPr>
        <w:t>（一）打破数据壁垒，实现数据整合</w:t>
      </w:r>
      <w:bookmarkEnd w:id="5"/>
      <w:bookmarkEnd w:id="6"/>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color w:val="auto"/>
          <w:u w:val="none"/>
        </w:rPr>
        <w:t>《基层治理建设意见》中指出要“整合数据资源。实施‘互联网</w:t>
      </w:r>
      <w:r>
        <w:rPr>
          <w:color w:val="auto"/>
          <w:u w:val="none"/>
        </w:rPr>
        <w:t>+基层治理</w:t>
      </w:r>
      <w:r>
        <w:rPr>
          <w:rFonts w:hint="eastAsia"/>
          <w:color w:val="auto"/>
          <w:u w:val="none"/>
        </w:rPr>
        <w:t>’</w:t>
      </w:r>
      <w:r>
        <w:rPr>
          <w:color w:val="auto"/>
          <w:u w:val="none"/>
        </w:rPr>
        <w:t>行动，完善乡镇（街道）、村（社区）地理信息等基础数据，共建全国基层治理数据库</w:t>
      </w:r>
      <w:r>
        <w:rPr>
          <w:rFonts w:hint="eastAsia"/>
          <w:color w:val="auto"/>
          <w:u w:val="none"/>
        </w:rPr>
        <w:t>”，“</w:t>
      </w:r>
      <w:r>
        <w:rPr>
          <w:color w:val="auto"/>
          <w:u w:val="none"/>
        </w:rPr>
        <w:t>完善乡镇（街道）与部门政务信息系统数据资源共享交换机制</w:t>
      </w:r>
      <w:r>
        <w:rPr>
          <w:rFonts w:hint="eastAsia"/>
          <w:color w:val="auto"/>
          <w:u w:val="none"/>
        </w:rPr>
        <w:t>”</w:t>
      </w:r>
      <w:r>
        <w:rPr>
          <w:color w:val="auto"/>
          <w:u w:val="none"/>
        </w:rPr>
        <w:t>。</w:t>
      </w:r>
      <w:r>
        <w:rPr>
          <w:rFonts w:hint="eastAsia"/>
          <w:color w:val="auto"/>
          <w:u w:val="none"/>
        </w:rPr>
        <w:t>“智慧社区”系统依托龙岗区大数据平台和时空信息平台的基础，目前事件分拨平台已经接入网格系统、安监系统、城管系统、1</w:t>
      </w:r>
      <w:r>
        <w:rPr>
          <w:color w:val="auto"/>
          <w:u w:val="none"/>
        </w:rPr>
        <w:t>2345</w:t>
      </w:r>
      <w:r>
        <w:rPr>
          <w:rFonts w:hint="eastAsia"/>
          <w:color w:val="auto"/>
          <w:u w:val="none"/>
        </w:rPr>
        <w:t>热线、三小隐患、应急指挥系统等系统的数据，初步实现了与城管、消安等行业主管部门业务系统的数据衔接。通过“智慧社区”系统的管理后台，能够同时看到人口、企业、隐患点等分布情况和多个系统调入的处置事件。以社区治理中的“事件”功能为例，不仅能够查看居民在“智慧社区”系统中“民生1</w:t>
      </w:r>
      <w:r>
        <w:rPr>
          <w:color w:val="auto"/>
          <w:u w:val="none"/>
        </w:rPr>
        <w:t>10</w:t>
      </w:r>
      <w:r>
        <w:rPr>
          <w:rFonts w:hint="eastAsia"/>
          <w:color w:val="auto"/>
          <w:u w:val="none"/>
        </w:rPr>
        <w:t>”板块上报的事件，还能看到居民在1</w:t>
      </w:r>
      <w:r>
        <w:rPr>
          <w:color w:val="auto"/>
          <w:u w:val="none"/>
        </w:rPr>
        <w:t>2345</w:t>
      </w:r>
      <w:r>
        <w:rPr>
          <w:rFonts w:hint="eastAsia"/>
          <w:color w:val="auto"/>
          <w:u w:val="none"/>
        </w:rPr>
        <w:t>、城管系统等其他业务系统上报的事件。社区层面方便根据汇总的情况，安排事件处置顺序。而在区级和街道层面，则能够及时了解到基层处置事件的效率，便于指导和监督工作。</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7" w:name="_Toc11809"/>
      <w:bookmarkStart w:id="8" w:name="_Toc116548136"/>
      <w:r>
        <w:rPr>
          <w:rFonts w:hint="eastAsia"/>
          <w:b w:val="0"/>
          <w:bCs w:val="0"/>
          <w:color w:val="auto"/>
          <w:u w:val="none"/>
        </w:rPr>
        <w:t>（二）落实数据分发，推动数据下沉</w:t>
      </w:r>
      <w:bookmarkEnd w:id="7"/>
      <w:bookmarkEnd w:id="8"/>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color w:val="auto"/>
          <w:u w:val="none"/>
        </w:rPr>
        <w:t>《</w:t>
      </w:r>
      <w:r>
        <w:rPr>
          <w:rFonts w:hint="eastAsia"/>
          <w:color w:val="auto"/>
          <w:u w:val="none"/>
          <w:lang w:eastAsia="zh-CN"/>
        </w:rPr>
        <w:t>“</w:t>
      </w:r>
      <w:r>
        <w:rPr>
          <w:rFonts w:hint="eastAsia"/>
          <w:color w:val="auto"/>
          <w:u w:val="none"/>
        </w:rPr>
        <w:t>十四五</w:t>
      </w:r>
      <w:r>
        <w:rPr>
          <w:rFonts w:hint="eastAsia"/>
          <w:color w:val="auto"/>
          <w:u w:val="none"/>
          <w:lang w:eastAsia="zh-CN"/>
        </w:rPr>
        <w:t>”</w:t>
      </w:r>
      <w:r>
        <w:rPr>
          <w:rFonts w:hint="eastAsia"/>
          <w:color w:val="auto"/>
          <w:u w:val="none"/>
        </w:rPr>
        <w:t>社区建设规划》中提出要“实施‘互联网</w:t>
      </w:r>
      <w:r>
        <w:rPr>
          <w:color w:val="auto"/>
          <w:u w:val="none"/>
        </w:rPr>
        <w:t>+基层治理</w:t>
      </w:r>
      <w:r>
        <w:rPr>
          <w:rFonts w:hint="eastAsia"/>
          <w:color w:val="auto"/>
          <w:u w:val="none"/>
        </w:rPr>
        <w:t>’</w:t>
      </w:r>
      <w:r>
        <w:rPr>
          <w:color w:val="auto"/>
          <w:u w:val="none"/>
        </w:rPr>
        <w:t>行动，完善乡镇（街道）、村（社区）地理信息等基础数据，根据服务群众需要，依法依规向村（社区）开放数据资源，发挥村（社区）信息为民服务实效</w:t>
      </w:r>
      <w:r>
        <w:rPr>
          <w:rFonts w:hint="eastAsia"/>
          <w:color w:val="auto"/>
          <w:u w:val="none"/>
        </w:rPr>
        <w:t>”。“智慧社区”系统将城管、市监等各业务部门自己系统中的数据整合后，按各街道、社区的辖区范围，实时、定向地将整合后的数据发送给各街道、社区，方便各基层单位及时了解本单位辖区内的基本情况，便于更好地开展基层治理工作。目前，“智慧社区”系统已推动人、房、法人、一企一档、一楼一档、三小场所、网格事件、城管事件、安全隐患事件、企业负面信息清单、视频等共</w:t>
      </w:r>
      <w:r>
        <w:rPr>
          <w:color w:val="auto"/>
          <w:u w:val="none"/>
        </w:rPr>
        <w:t>39类5,000多个字段的数据资源下沉到社区，实现了</w:t>
      </w:r>
      <w:r>
        <w:rPr>
          <w:rFonts w:hint="eastAsia"/>
          <w:color w:val="auto"/>
          <w:u w:val="none"/>
        </w:rPr>
        <w:t>“</w:t>
      </w:r>
      <w:r>
        <w:rPr>
          <w:color w:val="auto"/>
          <w:u w:val="none"/>
        </w:rPr>
        <w:t>数据回家、应下尽下</w:t>
      </w:r>
      <w:r>
        <w:rPr>
          <w:rFonts w:hint="eastAsia"/>
          <w:color w:val="auto"/>
          <w:u w:val="none"/>
        </w:rPr>
        <w:t>”的要求</w:t>
      </w:r>
      <w:r>
        <w:rPr>
          <w:color w:val="auto"/>
          <w:u w:val="none"/>
        </w:rPr>
        <w:t>。</w:t>
      </w:r>
      <w:r>
        <w:rPr>
          <w:rFonts w:hint="eastAsia"/>
          <w:color w:val="auto"/>
          <w:u w:val="none"/>
        </w:rPr>
        <w:t>如在精细治理板块，“智慧社区”系统通过同步工商部门的系统数据，能够在系统上及时反映企业的工商信息，并向社区提供辖区内的企业负面信息。社区针对可能存在经营</w:t>
      </w:r>
      <w:r>
        <w:rPr>
          <w:rFonts w:hint="eastAsia"/>
          <w:color w:val="auto"/>
          <w:u w:val="none"/>
          <w:lang w:val="en-US" w:eastAsia="zh-CN"/>
        </w:rPr>
        <w:t>风</w:t>
      </w:r>
      <w:r>
        <w:rPr>
          <w:rFonts w:hint="eastAsia"/>
          <w:color w:val="auto"/>
          <w:u w:val="none"/>
        </w:rPr>
        <w:t>险的企业，可以采取预防性措施或者其他应对方案，有助于提前预防、化解劳动纠纷。</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9" w:name="_Toc116548137"/>
      <w:bookmarkStart w:id="10" w:name="_Toc869"/>
      <w:r>
        <w:rPr>
          <w:rFonts w:hint="eastAsia"/>
          <w:b w:val="0"/>
          <w:bCs w:val="0"/>
          <w:color w:val="auto"/>
          <w:u w:val="none"/>
        </w:rPr>
        <w:t>（三）应对突发情况，助力疫情防控</w:t>
      </w:r>
      <w:bookmarkEnd w:id="9"/>
      <w:bookmarkEnd w:id="10"/>
    </w:p>
    <w:p>
      <w:pPr>
        <w:pStyle w:val="15"/>
        <w:pageBreakBefore w:val="0"/>
        <w:widowControl w:val="0"/>
        <w:kinsoku/>
        <w:wordWrap/>
        <w:overflowPunct/>
        <w:topLinePunct w:val="0"/>
        <w:autoSpaceDE/>
        <w:autoSpaceDN/>
        <w:bidi w:val="0"/>
        <w:spacing w:line="560" w:lineRule="exact"/>
        <w:ind w:firstLine="640"/>
        <w:textAlignment w:val="auto"/>
        <w:rPr>
          <w:rFonts w:hint="eastAsia"/>
          <w:color w:val="auto"/>
          <w:u w:val="none"/>
        </w:rPr>
      </w:pPr>
      <w:r>
        <w:rPr>
          <w:rFonts w:hint="eastAsia"/>
          <w:color w:val="auto"/>
          <w:u w:val="none"/>
        </w:rPr>
        <w:t>“智慧社区”建设项目的软硬件成果在疫情防控中崭露头角。一方面，项目为各社区配套可视化执法终端等硬件设备，为疫情期间实时了解临时核酸采样点情况，优化人员物资配置提供技术支持。另一方面，利用核酸采样点周边的监控摄像头，运用</w:t>
      </w:r>
      <w:r>
        <w:rPr>
          <w:color w:val="auto"/>
          <w:u w:val="none"/>
        </w:rPr>
        <w:t>AI自主识别和分析技术，自动判断各个核酸采样点的人流量，借此优化各采样点之间的资源配置。</w:t>
      </w:r>
      <w:r>
        <w:rPr>
          <w:rFonts w:hint="eastAsia"/>
          <w:color w:val="auto"/>
          <w:u w:val="none"/>
        </w:rPr>
        <w:t>除此之外，结合区疫情防控指挥平台、网格实有人口、运营城中村视频门禁等数据进行多维融合分析、筛查比对，在疫情期间实现动态实时追踪重点人员违规出行的情况。</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11" w:name="_Toc25599"/>
      <w:bookmarkStart w:id="12" w:name="_Toc116548138"/>
      <w:r>
        <w:rPr>
          <w:rFonts w:hint="eastAsia"/>
          <w:b w:val="0"/>
          <w:bCs w:val="0"/>
          <w:color w:val="auto"/>
          <w:u w:val="none"/>
        </w:rPr>
        <w:t>（四）借鉴先进经验，重视因地施策</w:t>
      </w:r>
      <w:bookmarkEnd w:id="11"/>
      <w:bookmarkEnd w:id="12"/>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color w:val="auto"/>
          <w:u w:val="none"/>
        </w:rPr>
        <w:t>“智慧社区”的概念尚未形成共识，各地对建设“智慧社区”的理解存在差异。因此，各地在建设过程中，出发点和侧重点各不相同。比如，有的地区尝试探索“物联网+”的方向，打造“万物互联”的智慧化城市管理模式。有的地区尝试“互联网+社区服务”的方向，致力于打通线上线下服务边界。“智慧社区”建设项目在开展试点的前期重视学习、借鉴省内外其他地区的成功案例。</w:t>
      </w:r>
      <w:r>
        <w:rPr>
          <w:color w:val="auto"/>
          <w:u w:val="none"/>
        </w:rPr>
        <w:t>2018年</w:t>
      </w:r>
      <w:r>
        <w:rPr>
          <w:rFonts w:hint="eastAsia"/>
          <w:color w:val="auto"/>
          <w:u w:val="none"/>
        </w:rPr>
        <w:t>区政数局</w:t>
      </w:r>
      <w:r>
        <w:rPr>
          <w:color w:val="auto"/>
          <w:u w:val="none"/>
        </w:rPr>
        <w:t>曾经</w:t>
      </w:r>
      <w:r>
        <w:rPr>
          <w:rFonts w:hint="eastAsia"/>
          <w:color w:val="auto"/>
          <w:u w:val="none"/>
        </w:rPr>
        <w:t>组织外出调研，</w:t>
      </w:r>
      <w:r>
        <w:rPr>
          <w:color w:val="auto"/>
          <w:u w:val="none"/>
        </w:rPr>
        <w:t>赴上海、杭州、徐州、佛山等城市学习</w:t>
      </w:r>
      <w:r>
        <w:rPr>
          <w:rFonts w:hint="eastAsia"/>
          <w:color w:val="auto"/>
          <w:u w:val="none"/>
        </w:rPr>
        <w:t>、考察</w:t>
      </w:r>
      <w:r>
        <w:rPr>
          <w:color w:val="auto"/>
          <w:u w:val="none"/>
        </w:rPr>
        <w:t>，了解各地在“智慧社区”建设上的</w:t>
      </w:r>
      <w:r>
        <w:rPr>
          <w:rFonts w:hint="eastAsia"/>
          <w:color w:val="auto"/>
          <w:u w:val="none"/>
        </w:rPr>
        <w:t>创新举措</w:t>
      </w:r>
      <w:r>
        <w:rPr>
          <w:color w:val="auto"/>
          <w:u w:val="none"/>
        </w:rPr>
        <w:t>。但是，在试点过程中并未照搬外来模式，而是结合龙岗</w:t>
      </w:r>
      <w:r>
        <w:rPr>
          <w:rFonts w:hint="eastAsia"/>
          <w:color w:val="auto"/>
          <w:u w:val="none"/>
        </w:rPr>
        <w:t>区</w:t>
      </w:r>
      <w:r>
        <w:rPr>
          <w:color w:val="auto"/>
          <w:u w:val="none"/>
        </w:rPr>
        <w:t>社区治理的实际</w:t>
      </w:r>
      <w:r>
        <w:rPr>
          <w:rFonts w:hint="eastAsia"/>
          <w:color w:val="auto"/>
          <w:u w:val="none"/>
        </w:rPr>
        <w:t>，因地制宜地开展</w:t>
      </w:r>
      <w:r>
        <w:rPr>
          <w:color w:val="auto"/>
          <w:u w:val="none"/>
        </w:rPr>
        <w:t>探索。主要表现在试点时明确区分了社区的类型，</w:t>
      </w:r>
      <w:r>
        <w:rPr>
          <w:rFonts w:hint="eastAsia"/>
          <w:color w:val="auto"/>
          <w:u w:val="none"/>
        </w:rPr>
        <w:t>选择了南坑社区、</w:t>
      </w:r>
      <w:r>
        <w:rPr>
          <w:rFonts w:hint="eastAsia"/>
          <w:color w:val="auto"/>
          <w:u w:val="none"/>
          <w:lang w:eastAsia="zh-CN"/>
        </w:rPr>
        <w:t>怡锦社区</w:t>
      </w:r>
      <w:r>
        <w:rPr>
          <w:rFonts w:hint="eastAsia"/>
          <w:color w:val="auto"/>
          <w:u w:val="none"/>
        </w:rPr>
        <w:t>作为试点对象，</w:t>
      </w:r>
      <w:r>
        <w:rPr>
          <w:color w:val="auto"/>
          <w:u w:val="none"/>
        </w:rPr>
        <w:t>分别</w:t>
      </w:r>
      <w:r>
        <w:rPr>
          <w:rFonts w:hint="eastAsia"/>
          <w:color w:val="auto"/>
          <w:u w:val="none"/>
        </w:rPr>
        <w:t>作为</w:t>
      </w:r>
      <w:r>
        <w:rPr>
          <w:color w:val="auto"/>
          <w:u w:val="none"/>
        </w:rPr>
        <w:t>城中村治理和花园小区管理</w:t>
      </w:r>
      <w:r>
        <w:rPr>
          <w:rFonts w:hint="eastAsia"/>
          <w:color w:val="auto"/>
          <w:u w:val="none"/>
        </w:rPr>
        <w:t>的代表开展尝试</w:t>
      </w:r>
      <w:r>
        <w:rPr>
          <w:color w:val="auto"/>
          <w:u w:val="none"/>
        </w:rPr>
        <w:t>。</w:t>
      </w:r>
      <w:r>
        <w:rPr>
          <w:rFonts w:hint="eastAsia"/>
          <w:color w:val="auto"/>
          <w:u w:val="none"/>
        </w:rPr>
        <w:t>其中，南坑社区由于辖区内城中村的人口众多、人员复杂等因素，面临社区治理上的困难。因此，在试点中侧重于借助平台系统，探索精细化的社区治理模式。</w:t>
      </w:r>
      <w:r>
        <w:rPr>
          <w:rFonts w:hint="eastAsia"/>
          <w:color w:val="auto"/>
          <w:u w:val="none"/>
          <w:lang w:eastAsia="zh-CN"/>
        </w:rPr>
        <w:t>怡锦社区</w:t>
      </w:r>
      <w:r>
        <w:rPr>
          <w:rFonts w:hint="eastAsia"/>
          <w:color w:val="auto"/>
          <w:u w:val="none"/>
        </w:rPr>
        <w:t>则基于自身良好的社区服务基础，进一步完善社区服务的内容，丰富社区服务的形式。充分利用有限的资源，为“智慧社区”系统建设同时积累了G端和C端的建设经验，为“智慧社区”系统建设打下良好基础。</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13" w:name="_Toc116548139"/>
      <w:bookmarkStart w:id="14" w:name="_Toc10547"/>
      <w:r>
        <w:rPr>
          <w:rFonts w:hint="eastAsia"/>
          <w:b w:val="0"/>
          <w:bCs w:val="0"/>
          <w:color w:val="auto"/>
          <w:u w:val="none"/>
        </w:rPr>
        <w:t>（五）夯实基础，重视配套机制建设</w:t>
      </w:r>
      <w:bookmarkEnd w:id="13"/>
      <w:bookmarkEnd w:id="14"/>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color w:val="auto"/>
          <w:u w:val="none"/>
        </w:rPr>
        <w:t>一方面，在“智慧社区”系统推广工作伊始，区大数据中心就成立了智慧社区工作专班，并将智慧社区工作纳入区绩效考核指标，从制度上保障推广工作顺利开展。另一方面，在向社区推广智慧社区的过程中，区大数据中心采用以点带面的形式开展培训工作。推广初期以坂田街道为试点，由区大数据中心联合智慧社区项目的承建方共同组成1</w:t>
      </w:r>
      <w:r>
        <w:rPr>
          <w:color w:val="auto"/>
          <w:u w:val="none"/>
        </w:rPr>
        <w:t>6</w:t>
      </w:r>
      <w:r>
        <w:rPr>
          <w:rFonts w:hint="eastAsia"/>
          <w:color w:val="auto"/>
          <w:u w:val="none"/>
        </w:rPr>
        <w:t>人的推广培训团队，分别进驻坂田街道以及下属1</w:t>
      </w:r>
      <w:r>
        <w:rPr>
          <w:color w:val="auto"/>
          <w:u w:val="none"/>
        </w:rPr>
        <w:t>2</w:t>
      </w:r>
      <w:r>
        <w:rPr>
          <w:rFonts w:hint="eastAsia"/>
          <w:color w:val="auto"/>
          <w:u w:val="none"/>
        </w:rPr>
        <w:t>个社区，实行“全脱产、全流程、手把手”的方式协助坂田街道开展建设推广工作。经过</w:t>
      </w:r>
      <w:r>
        <w:rPr>
          <w:color w:val="auto"/>
          <w:u w:val="none"/>
        </w:rPr>
        <w:t>3个月的共同努力，明确了街道智慧管理中心的职能、运行机制，优化完善了智慧社区平台功能</w:t>
      </w:r>
      <w:r>
        <w:rPr>
          <w:rFonts w:hint="eastAsia"/>
          <w:color w:val="auto"/>
          <w:u w:val="none"/>
        </w:rPr>
        <w:t>。在坂田街道的培训完成后，结合在坂田街道推广应用中的经验，培训驻点人员分散到其他街道开展推广培训，推广工作产生裂变效果。</w:t>
      </w:r>
    </w:p>
    <w:p>
      <w:pPr>
        <w:pStyle w:val="16"/>
        <w:pageBreakBefore w:val="0"/>
        <w:widowControl w:val="0"/>
        <w:kinsoku/>
        <w:wordWrap/>
        <w:overflowPunct/>
        <w:topLinePunct w:val="0"/>
        <w:autoSpaceDE/>
        <w:autoSpaceDN/>
        <w:bidi w:val="0"/>
        <w:spacing w:after="0" w:line="560" w:lineRule="exact"/>
        <w:textAlignment w:val="auto"/>
        <w:rPr>
          <w:color w:val="auto"/>
          <w:u w:val="none"/>
        </w:rPr>
      </w:pPr>
      <w:bookmarkStart w:id="15" w:name="_Toc22043"/>
      <w:bookmarkStart w:id="16" w:name="_Toc116548141"/>
      <w:r>
        <w:rPr>
          <w:rFonts w:hint="eastAsia"/>
          <w:color w:val="auto"/>
          <w:u w:val="none"/>
          <w:lang w:eastAsia="zh-CN"/>
        </w:rPr>
        <w:t>三</w:t>
      </w:r>
      <w:r>
        <w:rPr>
          <w:rFonts w:hint="eastAsia"/>
          <w:color w:val="auto"/>
          <w:u w:val="none"/>
        </w:rPr>
        <w:t>、存在问题及原因分析</w:t>
      </w:r>
      <w:bookmarkEnd w:id="15"/>
      <w:bookmarkEnd w:id="16"/>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17" w:name="_Toc116548142"/>
      <w:bookmarkStart w:id="18" w:name="_Toc17214"/>
      <w:r>
        <w:rPr>
          <w:rFonts w:hint="eastAsia"/>
          <w:b w:val="0"/>
          <w:bCs w:val="0"/>
          <w:color w:val="auto"/>
          <w:u w:val="none"/>
        </w:rPr>
        <w:t>（一）</w:t>
      </w:r>
      <w:r>
        <w:rPr>
          <w:rFonts w:hint="eastAsia"/>
          <w:b w:val="0"/>
          <w:bCs w:val="0"/>
          <w:color w:val="auto"/>
          <w:u w:val="none"/>
          <w:lang w:val="en-US" w:eastAsia="zh-CN"/>
        </w:rPr>
        <w:t>事件处置机制不完善</w:t>
      </w:r>
      <w:r>
        <w:rPr>
          <w:rFonts w:hint="eastAsia"/>
          <w:b w:val="0"/>
          <w:bCs w:val="0"/>
          <w:color w:val="auto"/>
          <w:u w:val="none"/>
        </w:rPr>
        <w:t>，工作出现冗余现象</w:t>
      </w:r>
      <w:bookmarkEnd w:id="17"/>
      <w:bookmarkEnd w:id="18"/>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b/>
          <w:bCs/>
          <w:color w:val="auto"/>
          <w:u w:val="none"/>
        </w:rPr>
        <w:t>一是</w:t>
      </w:r>
      <w:r>
        <w:rPr>
          <w:rFonts w:hint="eastAsia"/>
          <w:color w:val="auto"/>
          <w:u w:val="none"/>
        </w:rPr>
        <w:t>系统重复建设，增加基层工作压力。当前，一方面是基层单位</w:t>
      </w:r>
      <w:r>
        <w:rPr>
          <w:rFonts w:hint="default"/>
          <w:color w:val="auto"/>
          <w:u w:val="none"/>
        </w:rPr>
        <w:t>需应对</w:t>
      </w:r>
      <w:r>
        <w:rPr>
          <w:rFonts w:hint="eastAsia"/>
          <w:color w:val="auto"/>
          <w:u w:val="none"/>
        </w:rPr>
        <w:t>上级业务部门系统</w:t>
      </w:r>
      <w:r>
        <w:rPr>
          <w:rFonts w:hint="default"/>
          <w:color w:val="auto"/>
          <w:u w:val="none"/>
        </w:rPr>
        <w:t>多重任务</w:t>
      </w:r>
      <w:r>
        <w:rPr>
          <w:rFonts w:hint="eastAsia"/>
          <w:color w:val="auto"/>
          <w:u w:val="none"/>
        </w:rPr>
        <w:t>，系统管理工作繁杂的困境，另一方面是基层工作人员紧缺，疲于应对上级部门系统数据填报需求</w:t>
      </w:r>
      <w:r>
        <w:rPr>
          <w:color w:val="auto"/>
          <w:u w:val="none"/>
        </w:rPr>
        <w:t>。</w:t>
      </w:r>
      <w:r>
        <w:rPr>
          <w:rFonts w:hint="eastAsia"/>
          <w:b/>
          <w:bCs/>
          <w:color w:val="auto"/>
          <w:u w:val="none"/>
        </w:rPr>
        <w:t>二是</w:t>
      </w:r>
      <w:r>
        <w:rPr>
          <w:color w:val="auto"/>
          <w:u w:val="none"/>
        </w:rPr>
        <w:t>系统功能整合度低，效率提升有限。目前的“智慧社区”系统以整合、展示数据和事件</w:t>
      </w:r>
      <w:r>
        <w:rPr>
          <w:rFonts w:hint="eastAsia"/>
          <w:color w:val="auto"/>
          <w:u w:val="none"/>
        </w:rPr>
        <w:t>分发</w:t>
      </w:r>
      <w:r>
        <w:rPr>
          <w:color w:val="auto"/>
          <w:u w:val="none"/>
        </w:rPr>
        <w:t>为主，</w:t>
      </w:r>
      <w:r>
        <w:rPr>
          <w:rFonts w:hint="eastAsia"/>
          <w:color w:val="auto"/>
          <w:u w:val="none"/>
        </w:rPr>
        <w:t>除了智慧社区系统内部上报的事件之外，对于其他系统上报的事件</w:t>
      </w:r>
      <w:r>
        <w:rPr>
          <w:color w:val="auto"/>
          <w:u w:val="none"/>
        </w:rPr>
        <w:t>不具备处理事项的功能。</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19" w:name="_Toc28817"/>
      <w:bookmarkStart w:id="20" w:name="_Toc116548143"/>
      <w:r>
        <w:rPr>
          <w:rFonts w:hint="eastAsia"/>
          <w:b w:val="0"/>
          <w:bCs w:val="0"/>
          <w:color w:val="auto"/>
          <w:u w:val="none"/>
        </w:rPr>
        <w:t>（二）需求分析脱离基层实际，系统缺乏应用场景</w:t>
      </w:r>
      <w:bookmarkEnd w:id="19"/>
      <w:bookmarkEnd w:id="20"/>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b/>
          <w:bCs/>
          <w:color w:val="auto"/>
          <w:u w:val="none"/>
        </w:rPr>
        <w:t>一是</w:t>
      </w:r>
      <w:r>
        <w:rPr>
          <w:rFonts w:hint="eastAsia"/>
          <w:color w:val="auto"/>
          <w:u w:val="none"/>
        </w:rPr>
        <w:t>与基层治理需求不匹配，使用意愿不高。主要表现在智慧显示屏等高标准的硬件设施上。</w:t>
      </w:r>
      <w:r>
        <w:rPr>
          <w:rFonts w:hint="eastAsia"/>
          <w:color w:val="auto"/>
          <w:u w:val="none"/>
          <w:lang w:val="en-US" w:eastAsia="zh-CN"/>
        </w:rPr>
        <w:t>部分社区</w:t>
      </w:r>
      <w:r>
        <w:rPr>
          <w:rFonts w:hint="eastAsia"/>
          <w:color w:val="auto"/>
          <w:u w:val="none"/>
        </w:rPr>
        <w:t>智慧显示屏的使用率较低，在实地</w:t>
      </w:r>
      <w:r>
        <w:rPr>
          <w:rFonts w:hint="eastAsia"/>
          <w:color w:val="auto"/>
          <w:u w:val="none"/>
          <w:lang w:val="en-US" w:eastAsia="zh-CN"/>
        </w:rPr>
        <w:t>调研过程中部分智慧屏</w:t>
      </w:r>
      <w:r>
        <w:rPr>
          <w:rFonts w:hint="eastAsia"/>
          <w:color w:val="auto"/>
          <w:u w:val="none"/>
        </w:rPr>
        <w:t>处于关机状态。</w:t>
      </w:r>
      <w:r>
        <w:rPr>
          <w:rFonts w:hint="eastAsia"/>
          <w:b/>
          <w:bCs/>
          <w:color w:val="auto"/>
          <w:u w:val="none"/>
        </w:rPr>
        <w:t>二是</w:t>
      </w:r>
      <w:r>
        <w:rPr>
          <w:rFonts w:hint="eastAsia"/>
          <w:color w:val="auto"/>
          <w:u w:val="none"/>
        </w:rPr>
        <w:t>基层欠缺数字治理意识，缺乏使用习惯。大部分基层工作者的数字治理</w:t>
      </w:r>
      <w:r>
        <w:rPr>
          <w:rFonts w:hint="eastAsia"/>
          <w:color w:val="auto"/>
          <w:u w:val="none"/>
          <w:lang w:eastAsia="zh-CN"/>
        </w:rPr>
        <w:t>意识不强</w:t>
      </w:r>
      <w:r>
        <w:rPr>
          <w:rFonts w:hint="eastAsia"/>
          <w:color w:val="auto"/>
          <w:u w:val="none"/>
        </w:rPr>
        <w:t>，</w:t>
      </w:r>
      <w:r>
        <w:rPr>
          <w:rFonts w:hint="default"/>
          <w:color w:val="auto"/>
          <w:u w:val="none"/>
        </w:rPr>
        <w:t>不够了解</w:t>
      </w:r>
      <w:r>
        <w:rPr>
          <w:rFonts w:hint="eastAsia"/>
          <w:color w:val="auto"/>
          <w:u w:val="none"/>
        </w:rPr>
        <w:t>数据</w:t>
      </w:r>
      <w:r>
        <w:rPr>
          <w:rFonts w:hint="default"/>
          <w:color w:val="auto"/>
          <w:u w:val="none"/>
        </w:rPr>
        <w:t>信息</w:t>
      </w:r>
      <w:r>
        <w:rPr>
          <w:rFonts w:hint="eastAsia"/>
          <w:color w:val="auto"/>
          <w:u w:val="none"/>
        </w:rPr>
        <w:t>的重要性</w:t>
      </w:r>
      <w:r>
        <w:rPr>
          <w:rFonts w:hint="default"/>
          <w:color w:val="auto"/>
          <w:u w:val="none"/>
        </w:rPr>
        <w:t>及</w:t>
      </w:r>
      <w:r>
        <w:rPr>
          <w:rFonts w:hint="eastAsia"/>
          <w:color w:val="auto"/>
          <w:u w:val="none"/>
        </w:rPr>
        <w:t>如何运用数据优化治理。</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21" w:name="_Toc116548144"/>
      <w:bookmarkStart w:id="22" w:name="_Toc1236"/>
      <w:r>
        <w:rPr>
          <w:rFonts w:hint="eastAsia"/>
          <w:b w:val="0"/>
          <w:bCs w:val="0"/>
          <w:color w:val="auto"/>
          <w:u w:val="none"/>
        </w:rPr>
        <w:t>（三）项目初期成熟度低，全面推广应用操之过急</w:t>
      </w:r>
      <w:bookmarkEnd w:id="21"/>
      <w:bookmarkEnd w:id="22"/>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b/>
          <w:bCs/>
          <w:color w:val="auto"/>
          <w:u w:val="none"/>
        </w:rPr>
        <w:t>一是</w:t>
      </w:r>
      <w:r>
        <w:rPr>
          <w:rFonts w:hint="eastAsia"/>
          <w:color w:val="auto"/>
          <w:u w:val="none"/>
        </w:rPr>
        <w:t>项目处于试点阶段，盲目在全区大规模推广，取得的实际效果并不理想。项目尽管在南坑、怡</w:t>
      </w:r>
      <w:r>
        <w:rPr>
          <w:rFonts w:hint="eastAsia"/>
          <w:color w:val="auto"/>
          <w:u w:val="none"/>
          <w:lang w:val="en-US" w:eastAsia="zh-CN"/>
        </w:rPr>
        <w:t>锦</w:t>
      </w:r>
      <w:r>
        <w:rPr>
          <w:rFonts w:hint="eastAsia"/>
          <w:color w:val="auto"/>
          <w:u w:val="none"/>
        </w:rPr>
        <w:t>两个社区已经开展试点，但是试点经验并不成熟。</w:t>
      </w:r>
      <w:r>
        <w:rPr>
          <w:rFonts w:hint="eastAsia"/>
          <w:b/>
          <w:bCs/>
          <w:color w:val="auto"/>
          <w:u w:val="none"/>
        </w:rPr>
        <w:t>二是</w:t>
      </w:r>
      <w:r>
        <w:rPr>
          <w:rFonts w:hint="eastAsia"/>
          <w:color w:val="auto"/>
          <w:u w:val="none"/>
        </w:rPr>
        <w:t>运作模式尚未明确，无法发挥专项债效益。“智慧社区”建设项目由于系统涉及面较广，工作量较大，对于社区来说，人力配置要求较高。尽管目前已经出台社区级别的“城市运营微中心”的建设方案，但</w:t>
      </w:r>
      <w:r>
        <w:rPr>
          <w:rFonts w:hint="eastAsia"/>
          <w:color w:val="auto"/>
          <w:u w:val="none"/>
          <w:lang w:eastAsia="zh-CN"/>
        </w:rPr>
        <w:t>截至目前</w:t>
      </w:r>
      <w:r>
        <w:rPr>
          <w:rFonts w:hint="eastAsia"/>
          <w:color w:val="auto"/>
          <w:u w:val="none"/>
        </w:rPr>
        <w:t>仍缺乏有效的机制保障。</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23" w:name="_Toc17414"/>
      <w:bookmarkStart w:id="24" w:name="_Toc116548145"/>
      <w:r>
        <w:rPr>
          <w:rFonts w:hint="eastAsia"/>
          <w:b w:val="0"/>
          <w:bCs w:val="0"/>
          <w:color w:val="auto"/>
          <w:u w:val="none"/>
        </w:rPr>
        <w:t>（四）缺乏有效推广渠道，居民接受并使用程度低</w:t>
      </w:r>
      <w:bookmarkEnd w:id="23"/>
      <w:bookmarkEnd w:id="24"/>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eastAsia"/>
          <w:b/>
          <w:bCs/>
          <w:color w:val="auto"/>
          <w:u w:val="none"/>
        </w:rPr>
        <w:t>一是</w:t>
      </w:r>
      <w:r>
        <w:rPr>
          <w:rFonts w:hint="eastAsia"/>
          <w:color w:val="auto"/>
          <w:u w:val="none"/>
        </w:rPr>
        <w:t>与其他反馈渠道竞合，缺乏显著的渠道优势。相对于</w:t>
      </w:r>
      <w:r>
        <w:rPr>
          <w:color w:val="auto"/>
          <w:u w:val="none"/>
        </w:rPr>
        <w:t>12345等传统的意见反馈渠道，市民需要</w:t>
      </w:r>
      <w:r>
        <w:rPr>
          <w:rFonts w:hint="eastAsia"/>
          <w:color w:val="auto"/>
          <w:u w:val="none"/>
        </w:rPr>
        <w:t>通过</w:t>
      </w:r>
      <w:r>
        <w:rPr>
          <w:rFonts w:hint="eastAsia" w:hAnsi="仿宋_GB2312" w:cs="仿宋_GB2312"/>
          <w:color w:val="auto"/>
          <w:u w:val="none"/>
        </w:rPr>
        <w:t>“</w:t>
      </w:r>
      <w:r>
        <w:rPr>
          <w:rFonts w:hint="eastAsia"/>
          <w:color w:val="auto"/>
          <w:u w:val="none"/>
        </w:rPr>
        <w:t>i深圳</w:t>
      </w:r>
      <w:r>
        <w:rPr>
          <w:rFonts w:hint="eastAsia" w:hAnsi="仿宋_GB2312" w:cs="仿宋_GB2312"/>
          <w:color w:val="auto"/>
          <w:u w:val="none"/>
        </w:rPr>
        <w:t>”</w:t>
      </w:r>
      <w:r>
        <w:rPr>
          <w:rFonts w:hint="eastAsia"/>
          <w:color w:val="auto"/>
          <w:u w:val="none"/>
        </w:rPr>
        <w:t>或者</w:t>
      </w:r>
      <w:r>
        <w:rPr>
          <w:rFonts w:hint="eastAsia" w:hAnsi="仿宋_GB2312" w:cs="仿宋_GB2312"/>
          <w:color w:val="auto"/>
          <w:u w:val="none"/>
        </w:rPr>
        <w:t>“</w:t>
      </w:r>
      <w:r>
        <w:rPr>
          <w:rFonts w:hint="eastAsia"/>
          <w:color w:val="auto"/>
          <w:u w:val="none"/>
        </w:rPr>
        <w:t>i龙岗</w:t>
      </w:r>
      <w:r>
        <w:rPr>
          <w:rFonts w:hint="eastAsia" w:hAnsi="仿宋_GB2312" w:cs="仿宋_GB2312"/>
          <w:color w:val="auto"/>
          <w:u w:val="none"/>
        </w:rPr>
        <w:t>”</w:t>
      </w:r>
      <w:r>
        <w:rPr>
          <w:rFonts w:hint="eastAsia"/>
          <w:color w:val="auto"/>
          <w:u w:val="none"/>
        </w:rPr>
        <w:t>等程序才能</w:t>
      </w:r>
      <w:r>
        <w:rPr>
          <w:color w:val="auto"/>
          <w:u w:val="none"/>
        </w:rPr>
        <w:t>进入</w:t>
      </w:r>
      <w:r>
        <w:rPr>
          <w:rFonts w:hint="eastAsia"/>
          <w:color w:val="auto"/>
          <w:u w:val="none"/>
        </w:rPr>
        <w:t>智慧社区</w:t>
      </w:r>
      <w:r>
        <w:rPr>
          <w:color w:val="auto"/>
          <w:u w:val="none"/>
        </w:rPr>
        <w:t>系统界面，自行填报相应信息。相较于</w:t>
      </w:r>
      <w:r>
        <w:rPr>
          <w:rFonts w:hint="eastAsia"/>
          <w:color w:val="auto"/>
          <w:u w:val="none"/>
        </w:rPr>
        <w:t>拨打</w:t>
      </w:r>
      <w:r>
        <w:rPr>
          <w:color w:val="auto"/>
          <w:u w:val="none"/>
        </w:rPr>
        <w:t>电话直接反馈</w:t>
      </w:r>
      <w:r>
        <w:rPr>
          <w:rFonts w:hint="eastAsia"/>
          <w:color w:val="auto"/>
          <w:u w:val="none"/>
        </w:rPr>
        <w:t>的方式</w:t>
      </w:r>
      <w:r>
        <w:rPr>
          <w:color w:val="auto"/>
          <w:u w:val="none"/>
        </w:rPr>
        <w:t>，</w:t>
      </w:r>
      <w:r>
        <w:rPr>
          <w:rFonts w:hint="eastAsia"/>
          <w:color w:val="auto"/>
          <w:u w:val="none"/>
        </w:rPr>
        <w:t>通过智慧社区系统需要跳转3-</w:t>
      </w:r>
      <w:r>
        <w:rPr>
          <w:color w:val="auto"/>
          <w:u w:val="none"/>
        </w:rPr>
        <w:t>5</w:t>
      </w:r>
      <w:r>
        <w:rPr>
          <w:rFonts w:hint="eastAsia"/>
          <w:color w:val="auto"/>
          <w:u w:val="none"/>
        </w:rPr>
        <w:t>次用户界面，</w:t>
      </w:r>
      <w:r>
        <w:rPr>
          <w:color w:val="auto"/>
          <w:u w:val="none"/>
        </w:rPr>
        <w:t>操作更繁琐</w:t>
      </w:r>
      <w:r>
        <w:rPr>
          <w:rFonts w:hint="eastAsia"/>
          <w:color w:val="auto"/>
          <w:u w:val="none"/>
        </w:rPr>
        <w:t>，进而影响居民的使用意愿</w:t>
      </w:r>
      <w:r>
        <w:rPr>
          <w:color w:val="auto"/>
          <w:u w:val="none"/>
        </w:rPr>
        <w:t>。</w:t>
      </w:r>
      <w:r>
        <w:rPr>
          <w:b/>
          <w:bCs/>
          <w:color w:val="auto"/>
          <w:u w:val="none"/>
        </w:rPr>
        <w:t>二是</w:t>
      </w:r>
      <w:r>
        <w:rPr>
          <w:color w:val="auto"/>
          <w:u w:val="none"/>
        </w:rPr>
        <w:t>在居民中的宣传</w:t>
      </w:r>
      <w:r>
        <w:rPr>
          <w:rFonts w:hint="eastAsia"/>
          <w:color w:val="auto"/>
          <w:u w:val="none"/>
        </w:rPr>
        <w:t>力度</w:t>
      </w:r>
      <w:r>
        <w:rPr>
          <w:color w:val="auto"/>
          <w:u w:val="none"/>
        </w:rPr>
        <w:t>不够，大部分</w:t>
      </w:r>
      <w:r>
        <w:rPr>
          <w:rFonts w:hint="eastAsia"/>
          <w:color w:val="auto"/>
          <w:u w:val="none"/>
        </w:rPr>
        <w:t>居民</w:t>
      </w:r>
      <w:r>
        <w:rPr>
          <w:color w:val="auto"/>
          <w:u w:val="none"/>
        </w:rPr>
        <w:t>未了解有关信息。</w:t>
      </w:r>
      <w:r>
        <w:rPr>
          <w:rFonts w:hint="eastAsia"/>
          <w:color w:val="auto"/>
          <w:u w:val="none"/>
        </w:rPr>
        <w:t>根据问卷调查结果，大部分社区通过公众号推送和发放宣传册等传统形式进行宣传，个别社区采用了社区居民微信群等渠道推广。但在</w:t>
      </w:r>
      <w:r>
        <w:rPr>
          <w:rFonts w:hint="default"/>
          <w:color w:val="auto"/>
          <w:u w:val="none"/>
        </w:rPr>
        <w:t>被</w:t>
      </w:r>
      <w:r>
        <w:rPr>
          <w:rFonts w:hint="eastAsia"/>
          <w:color w:val="auto"/>
          <w:u w:val="none"/>
        </w:rPr>
        <w:t>调查的社</w:t>
      </w:r>
      <w:r>
        <w:rPr>
          <w:rFonts w:hint="default"/>
          <w:color w:val="auto"/>
          <w:u w:val="none"/>
        </w:rPr>
        <w:t>区</w:t>
      </w:r>
      <w:r>
        <w:rPr>
          <w:rFonts w:hint="eastAsia"/>
          <w:color w:val="auto"/>
          <w:u w:val="none"/>
        </w:rPr>
        <w:t>中，2</w:t>
      </w:r>
      <w:r>
        <w:rPr>
          <w:color w:val="auto"/>
          <w:u w:val="none"/>
        </w:rPr>
        <w:t>1.62</w:t>
      </w:r>
      <w:r>
        <w:rPr>
          <w:rFonts w:hint="eastAsia"/>
          <w:color w:val="auto"/>
          <w:u w:val="none"/>
        </w:rPr>
        <w:t>%的社区反映</w:t>
      </w:r>
      <w:r>
        <w:rPr>
          <w:rFonts w:hint="default"/>
          <w:color w:val="auto"/>
          <w:u w:val="none"/>
        </w:rPr>
        <w:t>居民</w:t>
      </w:r>
      <w:r>
        <w:rPr>
          <w:rFonts w:hint="eastAsia"/>
          <w:color w:val="auto"/>
          <w:u w:val="none"/>
        </w:rPr>
        <w:t>不会操作</w:t>
      </w:r>
      <w:r>
        <w:rPr>
          <w:rFonts w:hint="default"/>
          <w:color w:val="auto"/>
          <w:u w:val="none"/>
        </w:rPr>
        <w:t>、宣传</w:t>
      </w:r>
      <w:r>
        <w:rPr>
          <w:rFonts w:hint="eastAsia"/>
          <w:color w:val="auto"/>
          <w:u w:val="none"/>
        </w:rPr>
        <w:t>普及率低</w:t>
      </w:r>
      <w:r>
        <w:rPr>
          <w:rFonts w:hint="default"/>
          <w:color w:val="auto"/>
          <w:u w:val="none"/>
        </w:rPr>
        <w:t>、</w:t>
      </w:r>
      <w:r>
        <w:rPr>
          <w:rFonts w:hint="eastAsia"/>
          <w:color w:val="auto"/>
          <w:u w:val="none"/>
        </w:rPr>
        <w:t>宣传效果不佳等问题。</w:t>
      </w:r>
      <w:r>
        <w:rPr>
          <w:rFonts w:hint="eastAsia"/>
          <w:b/>
          <w:bCs/>
          <w:color w:val="auto"/>
          <w:u w:val="none"/>
        </w:rPr>
        <w:t>三是</w:t>
      </w:r>
      <w:r>
        <w:rPr>
          <w:rFonts w:hint="eastAsia"/>
          <w:color w:val="auto"/>
          <w:u w:val="none"/>
        </w:rPr>
        <w:t>系统服务功能较为单一，居民缺少使用场景需求。智慧社区系统现有的服务事项比较简单，以社区通知、意见反馈等功能为主。但这些并非居民在生活中的日常需求。在调查中也有社区反馈</w:t>
      </w:r>
      <w:r>
        <w:rPr>
          <w:rFonts w:hint="default"/>
          <w:color w:val="auto"/>
          <w:u w:val="none"/>
        </w:rPr>
        <w:t>部分</w:t>
      </w:r>
      <w:r>
        <w:rPr>
          <w:rFonts w:hint="eastAsia"/>
          <w:color w:val="auto"/>
          <w:u w:val="none"/>
        </w:rPr>
        <w:t>居民认为系统内容不够丰富。因此，居民</w:t>
      </w:r>
      <w:r>
        <w:rPr>
          <w:rFonts w:hint="eastAsia"/>
          <w:color w:val="auto"/>
          <w:u w:val="none"/>
          <w:lang w:val="en-US" w:eastAsia="zh-CN"/>
        </w:rPr>
        <w:t>对</w:t>
      </w:r>
      <w:r>
        <w:rPr>
          <w:rFonts w:hint="eastAsia"/>
          <w:color w:val="auto"/>
          <w:u w:val="none"/>
        </w:rPr>
        <w:t>智慧社区系统</w:t>
      </w:r>
      <w:r>
        <w:rPr>
          <w:rFonts w:hint="default"/>
          <w:color w:val="auto"/>
          <w:u w:val="none"/>
        </w:rPr>
        <w:t>的</w:t>
      </w:r>
      <w:r>
        <w:rPr>
          <w:rFonts w:hint="eastAsia"/>
          <w:color w:val="auto"/>
          <w:u w:val="none"/>
          <w:lang w:val="en-US" w:eastAsia="zh-CN"/>
        </w:rPr>
        <w:t>使用及接受程度较低</w:t>
      </w:r>
      <w:r>
        <w:rPr>
          <w:rFonts w:hint="eastAsia"/>
          <w:color w:val="auto"/>
          <w:u w:val="none"/>
        </w:rPr>
        <w:t>。</w:t>
      </w:r>
    </w:p>
    <w:p>
      <w:pPr>
        <w:pStyle w:val="16"/>
        <w:pageBreakBefore w:val="0"/>
        <w:widowControl w:val="0"/>
        <w:kinsoku/>
        <w:wordWrap/>
        <w:overflowPunct/>
        <w:topLinePunct w:val="0"/>
        <w:autoSpaceDE/>
        <w:autoSpaceDN/>
        <w:bidi w:val="0"/>
        <w:spacing w:after="0" w:line="560" w:lineRule="exact"/>
        <w:textAlignment w:val="auto"/>
        <w:rPr>
          <w:color w:val="auto"/>
          <w:u w:val="none"/>
        </w:rPr>
      </w:pPr>
      <w:bookmarkStart w:id="25" w:name="_Toc116548146"/>
      <w:bookmarkStart w:id="26" w:name="_Toc24688"/>
      <w:r>
        <w:rPr>
          <w:rFonts w:hint="eastAsia"/>
          <w:color w:val="auto"/>
          <w:u w:val="none"/>
          <w:lang w:eastAsia="zh-CN"/>
        </w:rPr>
        <w:t>四</w:t>
      </w:r>
      <w:r>
        <w:rPr>
          <w:rFonts w:hint="eastAsia"/>
          <w:color w:val="auto"/>
          <w:u w:val="none"/>
        </w:rPr>
        <w:t>、未来改进建议</w:t>
      </w:r>
      <w:bookmarkEnd w:id="25"/>
      <w:bookmarkEnd w:id="26"/>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27" w:name="_Toc116548147"/>
      <w:bookmarkStart w:id="28" w:name="_Toc21347"/>
      <w:r>
        <w:rPr>
          <w:rFonts w:hint="eastAsia"/>
          <w:b w:val="0"/>
          <w:bCs w:val="0"/>
          <w:color w:val="auto"/>
          <w:u w:val="none"/>
        </w:rPr>
        <w:t>（一）统筹优化各项系统，制定系统建设工作规划</w:t>
      </w:r>
      <w:bookmarkEnd w:id="27"/>
      <w:bookmarkEnd w:id="28"/>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default"/>
          <w:color w:val="auto"/>
          <w:u w:val="none"/>
        </w:rPr>
        <w:t>建议</w:t>
      </w:r>
      <w:r>
        <w:rPr>
          <w:rFonts w:hint="eastAsia"/>
          <w:color w:val="auto"/>
          <w:u w:val="none"/>
        </w:rPr>
        <w:t>由区政数局牵头，对全区各部门尤其是基层单位正在使用的操作系统开展全面的调研工作，充分了解各个系统的使用现状。根据系统建设单位层级的不同，研究不同的应对策略并制定后续的工作规划。一方面，结合“一网统管”的要求，着手研究区级各类系统的整合工作。按照统一标准和规范分类直接全量接入区指挥中心，形成“一网统管”应用生态基础。各应用系统要逐步进行接口封装和服务化改造，建立应用服务接口目录，并进行动态评估及管理。对于使用频率较低、功能相近的系统研究有序撤并的可行性，对于操作繁琐的系统，优化工作流程，精简操作步骤和要求。另一方面，与上级部门积极沟通，尝试整合省市级系统的数据端口，实现“一次填报，多方共享”的效果，减少基层工作人员重复作业的情况。在今后的应用系统建设中，落实</w:t>
      </w:r>
      <w:bookmarkStart w:id="29" w:name="_Hlk110199395"/>
      <w:r>
        <w:rPr>
          <w:rFonts w:hint="default"/>
          <w:color w:val="auto"/>
          <w:u w:val="none"/>
        </w:rPr>
        <w:t>相关规定</w:t>
      </w:r>
      <w:bookmarkEnd w:id="29"/>
      <w:r>
        <w:rPr>
          <w:color w:val="auto"/>
          <w:u w:val="none"/>
        </w:rPr>
        <w:t>要求，</w:t>
      </w:r>
      <w:r>
        <w:rPr>
          <w:rFonts w:hint="eastAsia"/>
          <w:color w:val="auto"/>
          <w:u w:val="none"/>
        </w:rPr>
        <w:t>建立统一规划、分工合作的建设管理模式，制定“边建设、边使用、边运营”的工作流程和管理规范，避免重复建设、反复推广的情况。</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30" w:name="_Toc116548148"/>
      <w:bookmarkStart w:id="31" w:name="_Toc24423"/>
      <w:r>
        <w:rPr>
          <w:rFonts w:hint="eastAsia"/>
          <w:b w:val="0"/>
          <w:bCs w:val="0"/>
          <w:color w:val="auto"/>
          <w:u w:val="none"/>
        </w:rPr>
        <w:t>（二）完善需求反馈机制，建立数字政务培训体系</w:t>
      </w:r>
      <w:bookmarkEnd w:id="30"/>
      <w:bookmarkEnd w:id="31"/>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default"/>
          <w:color w:val="auto"/>
          <w:u w:val="none"/>
        </w:rPr>
        <w:t>建议</w:t>
      </w:r>
      <w:r>
        <w:rPr>
          <w:rFonts w:hint="eastAsia"/>
          <w:color w:val="auto"/>
          <w:u w:val="none"/>
        </w:rPr>
        <w:t>在现有的系统故障反馈机制的基础上，建立社区与建设单位的常态化意见反馈机制，不再仅仅局限于反馈系统故障</w:t>
      </w:r>
      <w:r>
        <w:rPr>
          <w:color w:val="auto"/>
          <w:u w:val="none"/>
        </w:rPr>
        <w:t>等问题</w:t>
      </w:r>
      <w:r>
        <w:rPr>
          <w:rFonts w:hint="eastAsia"/>
          <w:color w:val="auto"/>
          <w:u w:val="none"/>
        </w:rPr>
        <w:t>的</w:t>
      </w:r>
      <w:r>
        <w:rPr>
          <w:color w:val="auto"/>
          <w:u w:val="none"/>
        </w:rPr>
        <w:t>解决上，更要建立</w:t>
      </w:r>
      <w:r>
        <w:rPr>
          <w:rFonts w:hint="eastAsia"/>
          <w:color w:val="auto"/>
          <w:u w:val="none"/>
        </w:rPr>
        <w:t>以基层工作</w:t>
      </w:r>
      <w:r>
        <w:rPr>
          <w:color w:val="auto"/>
          <w:u w:val="none"/>
        </w:rPr>
        <w:t>需求</w:t>
      </w:r>
      <w:r>
        <w:rPr>
          <w:rFonts w:hint="eastAsia"/>
          <w:color w:val="auto"/>
          <w:u w:val="none"/>
        </w:rPr>
        <w:t>为</w:t>
      </w:r>
      <w:r>
        <w:rPr>
          <w:color w:val="auto"/>
          <w:u w:val="none"/>
        </w:rPr>
        <w:t>导向的</w:t>
      </w:r>
      <w:r>
        <w:rPr>
          <w:rFonts w:hint="eastAsia"/>
          <w:color w:val="auto"/>
          <w:u w:val="none"/>
        </w:rPr>
        <w:t>产品迭代</w:t>
      </w:r>
      <w:r>
        <w:rPr>
          <w:color w:val="auto"/>
          <w:u w:val="none"/>
        </w:rPr>
        <w:t>机制</w:t>
      </w:r>
      <w:r>
        <w:rPr>
          <w:rFonts w:hint="eastAsia"/>
          <w:color w:val="auto"/>
          <w:u w:val="none"/>
        </w:rPr>
        <w:t>。</w:t>
      </w:r>
      <w:r>
        <w:rPr>
          <w:color w:val="auto"/>
          <w:u w:val="none"/>
        </w:rPr>
        <w:t>在系统迭代</w:t>
      </w:r>
      <w:r>
        <w:rPr>
          <w:rFonts w:hint="eastAsia"/>
          <w:color w:val="auto"/>
          <w:u w:val="none"/>
        </w:rPr>
        <w:t>升级的</w:t>
      </w:r>
      <w:r>
        <w:rPr>
          <w:color w:val="auto"/>
          <w:u w:val="none"/>
        </w:rPr>
        <w:t>过程中</w:t>
      </w:r>
      <w:r>
        <w:rPr>
          <w:rFonts w:hint="eastAsia"/>
          <w:color w:val="auto"/>
          <w:u w:val="none"/>
        </w:rPr>
        <w:t>，</w:t>
      </w:r>
      <w:r>
        <w:rPr>
          <w:color w:val="auto"/>
          <w:u w:val="none"/>
        </w:rPr>
        <w:t>抓住</w:t>
      </w:r>
      <w:r>
        <w:rPr>
          <w:rFonts w:hint="eastAsia"/>
          <w:color w:val="auto"/>
          <w:u w:val="none"/>
        </w:rPr>
        <w:t>社区工作人员在基层工作中的</w:t>
      </w:r>
      <w:r>
        <w:rPr>
          <w:color w:val="auto"/>
          <w:u w:val="none"/>
        </w:rPr>
        <w:t>痛点，</w:t>
      </w:r>
      <w:r>
        <w:rPr>
          <w:rFonts w:hint="eastAsia"/>
          <w:color w:val="auto"/>
          <w:u w:val="none"/>
        </w:rPr>
        <w:t>切实解决基层治理难题</w:t>
      </w:r>
      <w:r>
        <w:rPr>
          <w:color w:val="auto"/>
          <w:u w:val="none"/>
        </w:rPr>
        <w:t>。除此之外，及时总结基层</w:t>
      </w:r>
      <w:r>
        <w:rPr>
          <w:rFonts w:hint="eastAsia"/>
          <w:color w:val="auto"/>
          <w:u w:val="none"/>
        </w:rPr>
        <w:t>依托</w:t>
      </w:r>
      <w:r>
        <w:rPr>
          <w:color w:val="auto"/>
          <w:u w:val="none"/>
        </w:rPr>
        <w:t>大数据</w:t>
      </w:r>
      <w:r>
        <w:rPr>
          <w:rFonts w:hint="eastAsia"/>
          <w:color w:val="auto"/>
          <w:u w:val="none"/>
        </w:rPr>
        <w:t>进行精细化</w:t>
      </w:r>
      <w:r>
        <w:rPr>
          <w:color w:val="auto"/>
          <w:u w:val="none"/>
        </w:rPr>
        <w:t>治理的经验做法，树立典型案例，拓展系统使用场景。将培训重点由过往的操作技巧转变为数字治理理念，真正发挥系统的效用。</w:t>
      </w:r>
      <w:r>
        <w:rPr>
          <w:rFonts w:hint="eastAsia"/>
          <w:color w:val="auto"/>
          <w:u w:val="none"/>
        </w:rPr>
        <w:t>同时，选取政府治理的典型业务场景，推进公共数据与社会数据融合应用试点，不断丰富数据产品，为公共治理提供全面的数据支撑。</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32" w:name="_Toc116548149"/>
      <w:bookmarkStart w:id="33" w:name="_Toc5233"/>
      <w:r>
        <w:rPr>
          <w:rFonts w:hint="eastAsia"/>
          <w:b w:val="0"/>
          <w:bCs w:val="0"/>
          <w:color w:val="auto"/>
          <w:u w:val="none"/>
        </w:rPr>
        <w:t>（三）坚持“小步快走”，稳步推进试点工作开展</w:t>
      </w:r>
      <w:bookmarkEnd w:id="32"/>
      <w:bookmarkEnd w:id="33"/>
    </w:p>
    <w:p>
      <w:pPr>
        <w:pStyle w:val="15"/>
        <w:pageBreakBefore w:val="0"/>
        <w:widowControl w:val="0"/>
        <w:kinsoku/>
        <w:wordWrap/>
        <w:overflowPunct/>
        <w:topLinePunct w:val="0"/>
        <w:autoSpaceDE/>
        <w:autoSpaceDN/>
        <w:bidi w:val="0"/>
        <w:spacing w:line="560" w:lineRule="exact"/>
        <w:ind w:firstLine="640"/>
        <w:textAlignment w:val="auto"/>
        <w:rPr>
          <w:color w:val="auto"/>
          <w:u w:val="none"/>
        </w:rPr>
      </w:pPr>
      <w:r>
        <w:rPr>
          <w:rFonts w:hint="default"/>
          <w:color w:val="auto"/>
          <w:u w:val="none"/>
        </w:rPr>
        <w:t>建议</w:t>
      </w:r>
      <w:r>
        <w:rPr>
          <w:rFonts w:hint="eastAsia"/>
          <w:color w:val="auto"/>
          <w:u w:val="none"/>
        </w:rPr>
        <w:t>在今后的试点工作中，应当把握好试点的步伐和节奏。对于试点成效的总结和梳理不能仅仅停留在项目本身的建设上，应当充分考虑相关的配套设施和机制，不能盲目地复制试点成果，进行“摊大饼”式推广。必要时，应当组织小范围推广，既能验证试点经验的可复制性，又能进一步优化试点工作的经验。</w:t>
      </w:r>
    </w:p>
    <w:p>
      <w:pPr>
        <w:pStyle w:val="17"/>
        <w:pageBreakBefore w:val="0"/>
        <w:widowControl w:val="0"/>
        <w:kinsoku/>
        <w:wordWrap/>
        <w:overflowPunct/>
        <w:topLinePunct w:val="0"/>
        <w:autoSpaceDE/>
        <w:autoSpaceDN/>
        <w:bidi w:val="0"/>
        <w:spacing w:after="0" w:line="560" w:lineRule="exact"/>
        <w:ind w:firstLine="643"/>
        <w:textAlignment w:val="auto"/>
        <w:rPr>
          <w:b w:val="0"/>
          <w:bCs w:val="0"/>
          <w:color w:val="auto"/>
          <w:u w:val="none"/>
        </w:rPr>
      </w:pPr>
      <w:bookmarkStart w:id="34" w:name="_Toc4867"/>
      <w:bookmarkStart w:id="35" w:name="_Toc116548150"/>
      <w:r>
        <w:rPr>
          <w:rFonts w:hint="eastAsia"/>
          <w:b w:val="0"/>
          <w:bCs w:val="0"/>
          <w:color w:val="auto"/>
          <w:u w:val="none"/>
        </w:rPr>
        <w:t>（四）利用大众化的渠道入口，培养用户使用习惯</w:t>
      </w:r>
      <w:bookmarkEnd w:id="34"/>
      <w:bookmarkEnd w:id="35"/>
    </w:p>
    <w:p>
      <w:pPr>
        <w:pStyle w:val="15"/>
        <w:pageBreakBefore w:val="0"/>
        <w:widowControl w:val="0"/>
        <w:kinsoku/>
        <w:wordWrap/>
        <w:overflowPunct/>
        <w:topLinePunct w:val="0"/>
        <w:autoSpaceDE/>
        <w:autoSpaceDN/>
        <w:bidi w:val="0"/>
        <w:spacing w:line="560" w:lineRule="exact"/>
        <w:ind w:firstLine="640"/>
        <w:textAlignment w:val="auto"/>
      </w:pPr>
      <w:r>
        <w:rPr>
          <w:rFonts w:hint="default"/>
          <w:color w:val="auto"/>
          <w:u w:val="none"/>
        </w:rPr>
        <w:t>建议</w:t>
      </w:r>
      <w:r>
        <w:rPr>
          <w:rFonts w:hint="eastAsia"/>
          <w:b/>
          <w:bCs/>
          <w:color w:val="auto"/>
          <w:u w:val="none"/>
        </w:rPr>
        <w:t>一是</w:t>
      </w:r>
      <w:r>
        <w:rPr>
          <w:rFonts w:hint="eastAsia"/>
          <w:color w:val="auto"/>
          <w:u w:val="none"/>
        </w:rPr>
        <w:t>统计并分析现有反馈渠道所能覆盖的用户人群和应用场景，在今后的智慧社区系统推广工作中应当重点拓展未覆盖的人群和应用场景，进行差异化发展。</w:t>
      </w:r>
      <w:r>
        <w:rPr>
          <w:rFonts w:hint="eastAsia"/>
          <w:b/>
          <w:bCs/>
          <w:color w:val="auto"/>
          <w:u w:val="none"/>
        </w:rPr>
        <w:t>二是</w:t>
      </w:r>
      <w:r>
        <w:rPr>
          <w:rFonts w:hint="eastAsia"/>
          <w:color w:val="auto"/>
          <w:u w:val="none"/>
        </w:rPr>
        <w:t>优化用户操作模式，各项功能入口尽量采用扁平化设计，减少窗口跳转，提升用户体验。在部分特定场景，通过张贴二维码标识，能够实现直接跳转功能。</w:t>
      </w:r>
      <w:r>
        <w:rPr>
          <w:rFonts w:hint="eastAsia"/>
          <w:b/>
          <w:bCs/>
          <w:color w:val="auto"/>
          <w:u w:val="none"/>
        </w:rPr>
        <w:t>三是</w:t>
      </w:r>
      <w:r>
        <w:rPr>
          <w:rFonts w:hint="eastAsia"/>
          <w:color w:val="auto"/>
          <w:u w:val="none"/>
        </w:rPr>
        <w:t>在社区服务界面中，适当引入商业化服务的系统接口，能够增加智慧社区系统的使用功能，丰富智慧社区系统的使用场景，培养用户的使用习惯。</w:t>
      </w:r>
      <w:bookmarkEnd w:id="2"/>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XCCfLLAQAAkwMAAA4AAABkcnMvZTJvRG9jLnhtbK1TS27bMBDdF8gd&#10;CO5jSUZRO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V/m9/ccOaEpTc///h+/vn7&#10;/OsbK4p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lwgnyywEAAJMDAAAOAAAAAAAAAAEAIAAAAB8BAABkcnMvZTJv&#10;RG9jLnhtbFBLBQYAAAAABgAGAFkBAABcBQAAAAA=&#10;">
              <v:fill on="f" focussize="0,0"/>
              <v:stroke on="f"/>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NWIzOTRiM2Q3OWMwMWUwZDEwMDVhOWYxOWUyNjEifQ=="/>
  </w:docVars>
  <w:rsids>
    <w:rsidRoot w:val="00000000"/>
    <w:rsid w:val="045036E8"/>
    <w:rsid w:val="04B505EB"/>
    <w:rsid w:val="07691921"/>
    <w:rsid w:val="07702F1E"/>
    <w:rsid w:val="0DFFB349"/>
    <w:rsid w:val="19C859CF"/>
    <w:rsid w:val="23912A51"/>
    <w:rsid w:val="26FB62CD"/>
    <w:rsid w:val="28A43321"/>
    <w:rsid w:val="3EE012E8"/>
    <w:rsid w:val="42853865"/>
    <w:rsid w:val="46180F91"/>
    <w:rsid w:val="48E05482"/>
    <w:rsid w:val="4FFDE8E4"/>
    <w:rsid w:val="54850487"/>
    <w:rsid w:val="5E5369AB"/>
    <w:rsid w:val="635571FE"/>
    <w:rsid w:val="7B77AC28"/>
    <w:rsid w:val="7D72FE4B"/>
    <w:rsid w:val="7FBFC953"/>
    <w:rsid w:val="7FFB5AF3"/>
    <w:rsid w:val="E5D77DD6"/>
    <w:rsid w:val="F567D63F"/>
    <w:rsid w:val="F8F9619B"/>
    <w:rsid w:val="FBECA10E"/>
    <w:rsid w:val="FF7EDE92"/>
    <w:rsid w:val="FFD8284C"/>
    <w:rsid w:val="FFE9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keepNext/>
      <w:keepLines/>
      <w:spacing w:before="260" w:after="260" w:line="416" w:lineRule="auto"/>
      <w:outlineLvl w:val="1"/>
    </w:pPr>
    <w:rPr>
      <w:rFonts w:ascii="Calibri Light" w:hAnsi="Calibri Light" w:eastAsia="宋体" w:cs="宋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adjustRightInd w:val="0"/>
      <w:snapToGrid w:val="0"/>
      <w:spacing w:after="120" w:line="360" w:lineRule="auto"/>
    </w:pPr>
    <w:rPr>
      <w:rFonts w:ascii="仿宋_GB2312" w:hAnsi="Calibri" w:eastAsia="仿宋_GB2312" w:cs="Times New Roman"/>
      <w:snapToGrid w:val="0"/>
      <w:sz w:val="32"/>
      <w:szCs w:val="32"/>
      <w:lang w:val="en-US" w:eastAsia="zh-CN" w:bidi="ar-SA"/>
    </w:rPr>
  </w:style>
  <w:style w:type="paragraph" w:styleId="5">
    <w:name w:val="Balloon Text"/>
    <w:basedOn w:val="1"/>
    <w:link w:val="23"/>
    <w:unhideWhenUsed/>
    <w:qFormat/>
    <w:uiPriority w:val="99"/>
    <w:rPr>
      <w:rFonts w:asciiTheme="minorHAnsi" w:hAnsiTheme="minorHAnsi" w:eastAsiaTheme="minorEastAsia" w:cstheme="minorBidi"/>
      <w:sz w:val="18"/>
      <w:szCs w:val="18"/>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toc 1"/>
    <w:basedOn w:val="1"/>
    <w:next w:val="1"/>
    <w:semiHidden/>
    <w:unhideWhenUsed/>
    <w:qFormat/>
    <w:uiPriority w:val="39"/>
  </w:style>
  <w:style w:type="paragraph" w:styleId="8">
    <w:name w:val="footnote text"/>
    <w:basedOn w:val="1"/>
    <w:semiHidden/>
    <w:unhideWhenUsed/>
    <w:qFormat/>
    <w:uiPriority w:val="99"/>
    <w:pPr>
      <w:snapToGrid w:val="0"/>
      <w:jc w:val="left"/>
    </w:pPr>
    <w:rPr>
      <w:sz w:val="18"/>
    </w:rPr>
  </w:style>
  <w:style w:type="paragraph" w:styleId="9">
    <w:name w:val="toc 2"/>
    <w:basedOn w:val="1"/>
    <w:next w:val="1"/>
    <w:semiHidden/>
    <w:unhideWhenUsed/>
    <w:qFormat/>
    <w:uiPriority w:val="39"/>
    <w:pPr>
      <w:ind w:left="420" w:leftChars="200"/>
    </w:pPr>
  </w:style>
  <w:style w:type="table" w:styleId="11">
    <w:name w:val="Table Grid"/>
    <w:basedOn w:val="10"/>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563C1"/>
      <w:u w:val="single"/>
    </w:rPr>
  </w:style>
  <w:style w:type="character" w:styleId="14">
    <w:name w:val="footnote reference"/>
    <w:basedOn w:val="12"/>
    <w:semiHidden/>
    <w:unhideWhenUsed/>
    <w:qFormat/>
    <w:uiPriority w:val="99"/>
    <w:rPr>
      <w:vertAlign w:val="superscript"/>
    </w:rPr>
  </w:style>
  <w:style w:type="paragraph" w:customStyle="1" w:styleId="15">
    <w:name w:val="样式正文1"/>
    <w:basedOn w:val="1"/>
    <w:qFormat/>
    <w:uiPriority w:val="0"/>
    <w:pPr>
      <w:spacing w:line="360" w:lineRule="auto"/>
      <w:ind w:firstLine="200" w:firstLineChars="200"/>
    </w:pPr>
    <w:rPr>
      <w:rFonts w:ascii="仿宋_GB2312" w:eastAsia="仿宋_GB2312"/>
      <w:sz w:val="32"/>
      <w:szCs w:val="32"/>
    </w:rPr>
  </w:style>
  <w:style w:type="paragraph" w:customStyle="1" w:styleId="16">
    <w:name w:val="样式标题1"/>
    <w:basedOn w:val="3"/>
    <w:qFormat/>
    <w:uiPriority w:val="0"/>
    <w:pPr>
      <w:spacing w:before="0" w:after="0" w:line="360" w:lineRule="auto"/>
      <w:ind w:firstLine="641"/>
      <w:jc w:val="left"/>
    </w:pPr>
    <w:rPr>
      <w:rFonts w:eastAsia="黑体"/>
      <w:b w:val="0"/>
      <w:sz w:val="32"/>
    </w:rPr>
  </w:style>
  <w:style w:type="paragraph" w:customStyle="1" w:styleId="17">
    <w:name w:val="样式标题2"/>
    <w:basedOn w:val="4"/>
    <w:qFormat/>
    <w:uiPriority w:val="0"/>
    <w:pPr>
      <w:spacing w:before="0" w:after="0" w:line="360" w:lineRule="auto"/>
      <w:ind w:firstLine="200" w:firstLineChars="200"/>
      <w:jc w:val="left"/>
    </w:pPr>
    <w:rPr>
      <w:rFonts w:ascii="仿宋_GB2312" w:hAnsi="仿宋_GB2312" w:eastAsia="楷体_GB2312"/>
    </w:rPr>
  </w:style>
  <w:style w:type="table" w:customStyle="1" w:styleId="18">
    <w:name w:val="无格式表格 31"/>
    <w:basedOn w:val="10"/>
    <w:qFormat/>
    <w:uiPriority w:val="43"/>
    <w:tblStylePr w:type="firstRow">
      <w:rPr>
        <w:b/>
        <w:bCs/>
        <w:caps/>
      </w:rPr>
      <w:tcPr>
        <w:tcBorders>
          <w:bottom w:val="single" w:color="7E7E7E" w:sz="4" w:space="0"/>
        </w:tcBorders>
      </w:tcPr>
    </w:tblStylePr>
    <w:tblStylePr w:type="lastRow">
      <w:rPr>
        <w:b/>
        <w:bCs/>
        <w:caps/>
      </w:rPr>
      <w:tcPr>
        <w:tcBorders>
          <w:top w:val="nil"/>
        </w:tcBorders>
      </w:tcPr>
    </w:tblStylePr>
    <w:tblStylePr w:type="firstCol">
      <w:rPr>
        <w:b/>
        <w:bCs/>
        <w:caps/>
      </w:rPr>
      <w:tcPr>
        <w:tcBorders>
          <w:right w:val="single" w:color="7E7E7E" w:sz="4" w:space="0"/>
        </w:tcBorders>
      </w:tcPr>
    </w:tblStylePr>
    <w:tblStylePr w:type="lastCol">
      <w:rPr>
        <w:b/>
        <w:bCs/>
        <w:caps/>
      </w:rPr>
      <w:tcPr>
        <w:tcBorders>
          <w:left w:val="nil"/>
        </w:tcBorders>
      </w:tcPr>
    </w:tblStylePr>
    <w:tblStylePr w:type="band1Vert">
      <w:tcPr>
        <w:shd w:val="clear" w:color="auto" w:fill="F1F1F1"/>
      </w:tcPr>
    </w:tblStylePr>
    <w:tblStylePr w:type="band1Horz">
      <w:tcPr>
        <w:shd w:val="clear" w:color="auto" w:fill="F1F1F1"/>
      </w:tcPr>
    </w:tblStylePr>
    <w:tblStylePr w:type="neCell">
      <w:tcPr>
        <w:tcBorders>
          <w:left w:val="nil"/>
        </w:tcBorders>
      </w:tcPr>
    </w:tblStylePr>
    <w:tblStylePr w:type="nwCell">
      <w:tcPr>
        <w:tcBorders>
          <w:right w:val="nil"/>
        </w:tcBorders>
      </w:tcPr>
    </w:tblStylePr>
  </w:style>
  <w:style w:type="table" w:customStyle="1" w:styleId="19">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15"/>
    <w:basedOn w:val="12"/>
    <w:qFormat/>
    <w:uiPriority w:val="0"/>
    <w:rPr>
      <w:rFonts w:hint="eastAsia" w:ascii="微软雅黑" w:hAnsi="微软雅黑" w:eastAsia="微软雅黑"/>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character" w:customStyle="1" w:styleId="23">
    <w:name w:val="批注框文本 Char"/>
    <w:basedOn w:val="12"/>
    <w:link w:val="5"/>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4974</Words>
  <Characters>5042</Characters>
  <Lines>1</Lines>
  <Paragraphs>1</Paragraphs>
  <TotalTime>2</TotalTime>
  <ScaleCrop>false</ScaleCrop>
  <LinksUpToDate>false</LinksUpToDate>
  <CharactersWithSpaces>5043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2016-07-31T22:32:00Z</dcterms:created>
  <dc:creator>移动收发文</dc:creator>
  <cp:lastModifiedBy>库纳</cp:lastModifiedBy>
  <dcterms:modified xsi:type="dcterms:W3CDTF">2022-12-15T07:30:15Z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0B82C09C47BA5A4863C56C638B9B86FE</vt:lpwstr>
  </property>
</Properties>
</file>