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560" w:lineRule="exact"/>
        <w:jc w:val="both"/>
        <w:textAlignment w:val="auto"/>
        <w:rPr>
          <w:rFonts w:eastAsia="方正小标宋简体"/>
          <w:sz w:val="48"/>
          <w:szCs w:val="48"/>
        </w:rPr>
      </w:pPr>
      <w:bookmarkStart w:id="0" w:name="_Hlk51162904"/>
      <w:bookmarkEnd w:id="0"/>
      <w:bookmarkStart w:id="1" w:name="_Hlk43479338"/>
      <w:bookmarkStart w:id="2" w:name="_Hlk53006235"/>
      <w:bookmarkStart w:id="57" w:name="_GoBack"/>
      <w:bookmarkEnd w:id="57"/>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2021年深圳市龙岗区碳达峰碳中和论坛暨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第九届深圳国际低碳城论坛筹办经费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b w:val="0"/>
          <w:bCs w:val="0"/>
          <w:sz w:val="44"/>
          <w:szCs w:val="44"/>
        </w:rPr>
        <w:t>绩效评价报告</w:t>
      </w:r>
      <w:bookmarkEnd w:id="1"/>
    </w:p>
    <w:p>
      <w:pPr>
        <w:pageBreakBefore w:val="0"/>
        <w:widowControl w:val="0"/>
        <w:kinsoku/>
        <w:wordWrap/>
        <w:overflowPunct/>
        <w:topLinePunct w:val="0"/>
        <w:autoSpaceDE/>
        <w:autoSpaceDN/>
        <w:bidi w:val="0"/>
        <w:spacing w:line="560" w:lineRule="exact"/>
        <w:ind w:right="840"/>
        <w:textAlignment w:val="auto"/>
      </w:pPr>
    </w:p>
    <w:bookmarkEnd w:id="2"/>
    <w:p>
      <w:pPr>
        <w:pStyle w:val="3"/>
        <w:pageBreakBefore w:val="0"/>
        <w:widowControl w:val="0"/>
        <w:kinsoku/>
        <w:wordWrap/>
        <w:overflowPunct/>
        <w:topLinePunct w:val="0"/>
        <w:autoSpaceDE/>
        <w:autoSpaceDN/>
        <w:bidi w:val="0"/>
        <w:adjustRightInd w:val="0"/>
        <w:snapToGrid w:val="0"/>
        <w:spacing w:line="560" w:lineRule="exact"/>
        <w:ind w:firstLine="640"/>
        <w:textAlignment w:val="auto"/>
        <w:rPr>
          <w:rFonts w:ascii="Times New Roman"/>
        </w:rPr>
      </w:pPr>
      <w:bookmarkStart w:id="3" w:name="_Toc111150153"/>
      <w:bookmarkStart w:id="4" w:name="_Toc85012745"/>
      <w:r>
        <w:rPr>
          <w:rFonts w:hint="eastAsia" w:ascii="Times New Roman"/>
          <w:lang w:eastAsia="zh-CN"/>
        </w:rPr>
        <w:t>一、基</w:t>
      </w:r>
      <w:r>
        <w:rPr>
          <w:rFonts w:ascii="Times New Roman"/>
        </w:rPr>
        <w:t>本情况</w:t>
      </w:r>
      <w:bookmarkEnd w:id="3"/>
      <w:bookmarkEnd w:id="4"/>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本项目由区发展改革局负责主管，由区发展改革局及区住房建设局具体实施，主要用于筹办2021碳达峰碳中和论坛暨第九届深圳国际低碳城主论坛和绿色建筑分论坛。</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本项目</w:t>
      </w:r>
      <w:r>
        <w:rPr>
          <w:rFonts w:hint="eastAsia" w:ascii="仿宋_GB2312" w:hAnsi="仿宋_GB2312" w:eastAsia="仿宋_GB2312" w:cs="仿宋_GB2312"/>
          <w:lang w:val="en-US" w:eastAsia="zh-CN"/>
        </w:rPr>
        <w:t>2021年度预算金额为1,523.32万元，实际支出金额为775.63万元，执行率为50.92%。经综合评价，本项目绩效评价得分为80分，等级为“良”。</w:t>
      </w:r>
    </w:p>
    <w:p>
      <w:pPr>
        <w:pStyle w:val="3"/>
        <w:pageBreakBefore w:val="0"/>
        <w:widowControl w:val="0"/>
        <w:kinsoku/>
        <w:wordWrap/>
        <w:overflowPunct/>
        <w:topLinePunct w:val="0"/>
        <w:autoSpaceDE/>
        <w:autoSpaceDN/>
        <w:bidi w:val="0"/>
        <w:spacing w:line="560" w:lineRule="exact"/>
        <w:ind w:firstLine="640"/>
        <w:textAlignment w:val="auto"/>
        <w:rPr>
          <w:rFonts w:ascii="Times New Roman"/>
        </w:rPr>
      </w:pPr>
      <w:bookmarkStart w:id="5" w:name="_Toc50653288"/>
      <w:bookmarkStart w:id="6" w:name="_Toc85012758"/>
      <w:bookmarkStart w:id="7" w:name="_Toc111150181"/>
      <w:r>
        <w:rPr>
          <w:rFonts w:hint="eastAsia" w:ascii="Times New Roman"/>
          <w:lang w:eastAsia="zh-CN"/>
        </w:rPr>
        <w:t>二</w:t>
      </w:r>
      <w:r>
        <w:rPr>
          <w:rFonts w:ascii="Times New Roman"/>
        </w:rPr>
        <w:t>、主要</w:t>
      </w:r>
      <w:bookmarkEnd w:id="5"/>
      <w:r>
        <w:rPr>
          <w:rFonts w:ascii="Times New Roman"/>
        </w:rPr>
        <w:t>成效</w:t>
      </w:r>
      <w:bookmarkEnd w:id="6"/>
      <w:bookmarkEnd w:id="7"/>
    </w:p>
    <w:p>
      <w:pPr>
        <w:pStyle w:val="5"/>
        <w:pageBreakBefore w:val="0"/>
        <w:widowControl w:val="0"/>
        <w:kinsoku/>
        <w:wordWrap/>
        <w:overflowPunct/>
        <w:topLinePunct w:val="0"/>
        <w:autoSpaceDE/>
        <w:autoSpaceDN/>
        <w:bidi w:val="0"/>
        <w:spacing w:line="560" w:lineRule="exact"/>
        <w:textAlignment w:val="auto"/>
        <w:rPr>
          <w:rFonts w:ascii="Times New Roman" w:hAnsi="Times New Roman"/>
          <w:b w:val="0"/>
          <w:bCs w:val="0"/>
        </w:rPr>
      </w:pPr>
      <w:bookmarkStart w:id="8" w:name="_Toc50653289"/>
      <w:bookmarkStart w:id="9" w:name="_Toc85012759"/>
      <w:bookmarkStart w:id="10" w:name="_Toc111150182"/>
      <w:r>
        <w:rPr>
          <w:rFonts w:ascii="Times New Roman" w:hAnsi="Times New Roman"/>
          <w:b w:val="0"/>
          <w:bCs w:val="0"/>
        </w:rPr>
        <w:t>（一）</w:t>
      </w:r>
      <w:bookmarkEnd w:id="8"/>
      <w:bookmarkEnd w:id="9"/>
      <w:r>
        <w:rPr>
          <w:rFonts w:ascii="Times New Roman" w:hAnsi="Times New Roman"/>
          <w:b w:val="0"/>
          <w:bCs w:val="0"/>
        </w:rPr>
        <w:t>论坛如期顺利召开，传播绿色低碳理念</w:t>
      </w:r>
      <w:bookmarkEnd w:id="10"/>
    </w:p>
    <w:p>
      <w:pPr>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rPr>
      </w:pPr>
      <w:bookmarkStart w:id="11" w:name="_Toc50653290"/>
      <w:r>
        <w:rPr>
          <w:rFonts w:hint="eastAsia" w:ascii="仿宋_GB2312" w:hAnsi="仿宋_GB2312" w:eastAsia="仿宋_GB2312" w:cs="仿宋_GB2312"/>
        </w:rPr>
        <w:t>2021碳达峰碳中和论坛暨第九届深圳国际低碳城论坛于2021年12月16日至17日在国际低碳城成功举办，论坛采用线上+线下的模式，邀请国家、省、市领导及国内外专家学者、企业界领军人物参会。论坛开展了“1+6+3+2”及相关配套活动。“1”即“一场主论坛”，主要开展政策解读、形势分析、经验分享、观点交锋、案例讨论等，将论坛打造成思想交流与碰撞的盛宴。“6”即“六场专题论坛”，分别为粤港澳大湾区绿色发展高峰论坛、低碳能源论坛、绿色建筑论坛、国际清洁能源发展与合作论坛、绿色健康人居环境论坛、碳交易与气候投融资论坛。“3”即“三场研讨会”，探讨范围从深圳、湾区到世界城市群，内容涉及城市群碳减排措施、氢能产业发展与合作、“双碳”政策解读等。“2”为“国际绿色低碳技术项目路演与交易洽谈会+重大项目发布及专项报告发布仪式”。</w:t>
      </w:r>
    </w:p>
    <w:p>
      <w:pPr>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论坛获得主流媒体集中报道。截至2021年12月底，全网累计推出原创报道共计230余篇，总阅读量超6,000万人次，总转载量超1,000余篇。人民日报、新华网、央广网、经济日报、中国新闻网、学习强国、光明日报等央媒官网分别以《2021碳达峰碳中和论坛暨第九届深圳国际低碳城论坛“全球聚力”——UN前秘书长潘基文发表主旨演讲》《聚焦“碳路中国”2021碳达峰碳中和论坛深圳落幕名流云集精彩纷呈》为题进行报道，路透社、美联社、《时代周刊》《泰晤士报》《卫报》《真理报》等境外主流媒体纷纷予以转载，共推出报道14篇；中央广播电台新闻频道的《新闻速递》环节对论坛整体进行了报道、央视新闻客户端发布了题为《2021碳达峰碳中和论坛论坛闭幕》的报道，获超10万浏览量；南方日报、羊城晚报、深圳特区报、深圳商报、深圳晚报等省、市主流媒体推出了大版面及专题报道60余篇；近280家媒体网站对论坛的举办情况进行了报道或转发。多渠道的宣传，分享绿色低碳理念，有利于提高国际低碳城知名度，分享绿色低碳理念，助力龙岗区打造成为碳达峰碳中和先行示范区，进一步形成低碳生产生活氛围。</w:t>
      </w:r>
    </w:p>
    <w:p>
      <w:pPr>
        <w:pStyle w:val="5"/>
        <w:pageBreakBefore w:val="0"/>
        <w:widowControl w:val="0"/>
        <w:kinsoku/>
        <w:wordWrap/>
        <w:overflowPunct/>
        <w:topLinePunct w:val="0"/>
        <w:autoSpaceDE/>
        <w:autoSpaceDN/>
        <w:bidi w:val="0"/>
        <w:spacing w:line="560" w:lineRule="exact"/>
        <w:textAlignment w:val="auto"/>
        <w:rPr>
          <w:rFonts w:ascii="Times New Roman" w:hAnsi="Times New Roman"/>
          <w:b w:val="0"/>
          <w:bCs w:val="0"/>
        </w:rPr>
      </w:pPr>
      <w:bookmarkStart w:id="12" w:name="_Toc85012760"/>
      <w:bookmarkStart w:id="13" w:name="_Toc111150183"/>
      <w:r>
        <w:rPr>
          <w:rFonts w:ascii="Times New Roman" w:hAnsi="Times New Roman"/>
          <w:b w:val="0"/>
          <w:bCs w:val="0"/>
        </w:rPr>
        <w:t>（二）</w:t>
      </w:r>
      <w:bookmarkEnd w:id="11"/>
      <w:bookmarkEnd w:id="12"/>
      <w:r>
        <w:rPr>
          <w:rFonts w:ascii="Times New Roman" w:hAnsi="Times New Roman"/>
          <w:b w:val="0"/>
          <w:bCs w:val="0"/>
        </w:rPr>
        <w:t>成果展示获得好评，以会促业推动发展</w:t>
      </w:r>
      <w:bookmarkEnd w:id="13"/>
    </w:p>
    <w:p>
      <w:pPr>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rPr>
      </w:pPr>
      <w:bookmarkStart w:id="14" w:name="_Toc50653291"/>
      <w:r>
        <w:rPr>
          <w:rFonts w:hint="eastAsia" w:ascii="仿宋_GB2312" w:hAnsi="仿宋_GB2312" w:eastAsia="仿宋_GB2312" w:cs="仿宋_GB2312"/>
        </w:rPr>
        <w:t>论坛上发布了《深圳市氢能产业发展规划（2021</w:t>
      </w:r>
      <w:r>
        <w:rPr>
          <w:rFonts w:hint="default" w:ascii="仿宋_GB2312" w:hAnsi="仿宋_GB2312" w:cs="仿宋_GB2312"/>
        </w:rPr>
        <w:t>—</w:t>
      </w:r>
      <w:r>
        <w:rPr>
          <w:rFonts w:hint="eastAsia" w:ascii="仿宋_GB2312" w:hAnsi="仿宋_GB2312" w:eastAsia="仿宋_GB2312" w:cs="仿宋_GB2312"/>
        </w:rPr>
        <w:t>2025年）》《深圳市“零碳公园”建设导则》《打造碳排放达峰、空气质量达标、经济高质量增长协同“三达”城市：“三达”行动指南与深圳经验》《基于“生态元”的2000</w:t>
      </w:r>
      <w:r>
        <w:rPr>
          <w:rFonts w:hint="default" w:ascii="仿宋_GB2312" w:hAnsi="仿宋_GB2312" w:cs="仿宋_GB2312"/>
        </w:rPr>
        <w:t>—</w:t>
      </w:r>
      <w:r>
        <w:rPr>
          <w:rFonts w:hint="eastAsia" w:ascii="仿宋_GB2312" w:hAnsi="仿宋_GB2312" w:eastAsia="仿宋_GB2312" w:cs="仿宋_GB2312"/>
        </w:rPr>
        <w:t>2020年中国“两山”价值测算》《南山区政府投资类建设项目落实碳排放全过程管理实施指引》《双碳背景下的深圳能源转型》等专题报告并发布了低碳星球小程序、福田区双碳云脑、西部港区氢能示范、盐田国际集装箱码头岸基船舶供电系统（五期工程）、小梅沙“互联网”智慧能源项目等5个重大项目。绿色建筑分论坛展示了龙岗区工程建设领域高质量和绿色低碳发展的相关试点成果与实践经验，借助落地本区的全球最大直流用电建筑、近零能耗建筑示范项目“未来大厦”，打造一个基于双碳目标下建筑技术与绿色低碳生活场景高度融合的体验式展场，充分展示了深圳在绿色低碳发展所做出的努力以及务实的行动成果。</w:t>
      </w:r>
    </w:p>
    <w:p>
      <w:pPr>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12月17日下午、12月18日晚分别举办了国际绿色低碳技术项目路演与交易洽谈会和国际绿色低碳技术项目路演与交易洽谈会欧洲路演专场。征集了来自中国及日本、法国、美国、瑞士、瑞典等10多个国家和地区179个项目，相较2020年度的120多个项目再次创下新高。通过精选项目在现场重点推介、路演，为绿色低碳领域有影响力的技术和产业提供展览交易平台，构建深圳展示先进低碳技术，促进交流合作，引领产业发展的重要桥梁，通过项目路演的形式推动绿色低碳技术、产品、项目与资本的有效对接。</w:t>
      </w:r>
    </w:p>
    <w:p>
      <w:pPr>
        <w:pStyle w:val="3"/>
        <w:pageBreakBefore w:val="0"/>
        <w:widowControl w:val="0"/>
        <w:kinsoku/>
        <w:wordWrap/>
        <w:overflowPunct/>
        <w:topLinePunct w:val="0"/>
        <w:autoSpaceDE/>
        <w:autoSpaceDN/>
        <w:bidi w:val="0"/>
        <w:spacing w:line="560" w:lineRule="exact"/>
        <w:ind w:firstLine="640"/>
        <w:textAlignment w:val="auto"/>
        <w:rPr>
          <w:rFonts w:ascii="Times New Roman"/>
        </w:rPr>
      </w:pPr>
      <w:bookmarkStart w:id="15" w:name="_Toc111150184"/>
      <w:bookmarkStart w:id="16" w:name="_Toc85012761"/>
      <w:r>
        <w:rPr>
          <w:rFonts w:hint="eastAsia" w:ascii="Times New Roman"/>
          <w:lang w:eastAsia="zh-CN"/>
        </w:rPr>
        <w:t>三</w:t>
      </w:r>
      <w:r>
        <w:rPr>
          <w:rFonts w:ascii="Times New Roman"/>
        </w:rPr>
        <w:t>、存在的主要问题与不足</w:t>
      </w:r>
      <w:bookmarkEnd w:id="14"/>
      <w:bookmarkEnd w:id="15"/>
      <w:bookmarkEnd w:id="16"/>
      <w:bookmarkStart w:id="17" w:name="_Toc50653292"/>
    </w:p>
    <w:p>
      <w:pPr>
        <w:pStyle w:val="5"/>
        <w:pageBreakBefore w:val="0"/>
        <w:widowControl w:val="0"/>
        <w:kinsoku/>
        <w:wordWrap/>
        <w:overflowPunct/>
        <w:topLinePunct w:val="0"/>
        <w:autoSpaceDE/>
        <w:autoSpaceDN/>
        <w:bidi w:val="0"/>
        <w:spacing w:line="560" w:lineRule="exact"/>
        <w:textAlignment w:val="auto"/>
        <w:rPr>
          <w:rFonts w:ascii="Times New Roman" w:hAnsi="Times New Roman"/>
          <w:b w:val="0"/>
          <w:bCs w:val="0"/>
        </w:rPr>
      </w:pPr>
      <w:bookmarkStart w:id="18" w:name="_Toc85012764"/>
      <w:bookmarkStart w:id="19" w:name="_Toc111150185"/>
      <w:bookmarkStart w:id="20" w:name="_Toc85012762"/>
      <w:r>
        <w:rPr>
          <w:rFonts w:ascii="Times New Roman" w:hAnsi="Times New Roman"/>
          <w:b w:val="0"/>
          <w:bCs w:val="0"/>
        </w:rPr>
        <w:t>（</w:t>
      </w:r>
      <w:r>
        <w:rPr>
          <w:rFonts w:hint="eastAsia" w:ascii="Times New Roman" w:hAnsi="Times New Roman"/>
          <w:b w:val="0"/>
          <w:bCs w:val="0"/>
        </w:rPr>
        <w:t>一</w:t>
      </w:r>
      <w:r>
        <w:rPr>
          <w:rFonts w:ascii="Times New Roman" w:hAnsi="Times New Roman"/>
          <w:b w:val="0"/>
          <w:bCs w:val="0"/>
        </w:rPr>
        <w:t>）</w:t>
      </w:r>
      <w:bookmarkEnd w:id="18"/>
      <w:r>
        <w:rPr>
          <w:rFonts w:hint="eastAsia" w:ascii="Times New Roman" w:hAnsi="Times New Roman"/>
          <w:b w:val="0"/>
          <w:bCs w:val="0"/>
        </w:rPr>
        <w:t>项目效益</w:t>
      </w:r>
      <w:r>
        <w:rPr>
          <w:rFonts w:ascii="Times New Roman" w:hAnsi="Times New Roman"/>
          <w:b w:val="0"/>
          <w:bCs w:val="0"/>
        </w:rPr>
        <w:t>关注</w:t>
      </w:r>
      <w:r>
        <w:rPr>
          <w:rFonts w:hint="eastAsia" w:ascii="Times New Roman" w:hAnsi="Times New Roman"/>
          <w:b w:val="0"/>
          <w:bCs w:val="0"/>
        </w:rPr>
        <w:t>不足</w:t>
      </w:r>
      <w:r>
        <w:rPr>
          <w:rFonts w:ascii="Times New Roman" w:hAnsi="Times New Roman"/>
          <w:b w:val="0"/>
          <w:bCs w:val="0"/>
        </w:rPr>
        <w:t>，</w:t>
      </w:r>
      <w:r>
        <w:rPr>
          <w:rFonts w:hint="eastAsia" w:ascii="Times New Roman" w:hAnsi="Times New Roman"/>
          <w:b w:val="0"/>
          <w:bCs w:val="0"/>
        </w:rPr>
        <w:t>后续落地情况未明</w:t>
      </w:r>
      <w:bookmarkEnd w:id="19"/>
    </w:p>
    <w:p>
      <w:pPr>
        <w:pStyle w:val="6"/>
        <w:pageBreakBefore w:val="0"/>
        <w:widowControl w:val="0"/>
        <w:kinsoku/>
        <w:wordWrap/>
        <w:overflowPunct/>
        <w:topLinePunct w:val="0"/>
        <w:autoSpaceDE/>
        <w:autoSpaceDN/>
        <w:bidi w:val="0"/>
        <w:spacing w:line="560" w:lineRule="exact"/>
        <w:jc w:val="both"/>
        <w:textAlignment w:val="auto"/>
        <w:rPr>
          <w:rFonts w:hint="eastAsia" w:ascii="仿宋_GB2312" w:hAnsi="仿宋_GB2312" w:eastAsia="仿宋_GB2312" w:cs="仿宋_GB2312"/>
          <w:b w:val="0"/>
          <w:bCs w:val="0"/>
        </w:rPr>
      </w:pPr>
      <w:bookmarkStart w:id="21" w:name="_Toc111150186"/>
      <w:bookmarkStart w:id="22" w:name="_Toc106784000"/>
      <w:r>
        <w:rPr>
          <w:rFonts w:hint="eastAsia" w:ascii="仿宋_GB2312" w:hAnsi="仿宋_GB2312" w:cs="仿宋_GB2312"/>
          <w:lang w:eastAsia="zh-CN"/>
        </w:rPr>
        <w:t>一是</w:t>
      </w:r>
      <w:r>
        <w:rPr>
          <w:rFonts w:hint="eastAsia" w:ascii="仿宋_GB2312" w:hAnsi="仿宋_GB2312" w:eastAsia="仿宋_GB2312" w:cs="仿宋_GB2312"/>
          <w:b w:val="0"/>
          <w:bCs w:val="0"/>
        </w:rPr>
        <w:t>绩效目标设置不完善，未关注项目效益情况</w:t>
      </w:r>
      <w:bookmarkEnd w:id="21"/>
      <w:bookmarkEnd w:id="22"/>
      <w:r>
        <w:rPr>
          <w:rFonts w:hint="eastAsia" w:ascii="仿宋_GB2312" w:hAnsi="仿宋_GB2312" w:cs="仿宋_GB2312"/>
          <w:b w:val="0"/>
          <w:bCs w:val="0"/>
          <w:lang w:eastAsia="zh-CN"/>
        </w:rPr>
        <w:t>。</w:t>
      </w:r>
      <w:r>
        <w:rPr>
          <w:rFonts w:hint="eastAsia" w:ascii="仿宋_GB2312" w:hAnsi="仿宋_GB2312" w:eastAsia="仿宋_GB2312" w:cs="仿宋_GB2312"/>
          <w:b w:val="0"/>
          <w:bCs w:val="0"/>
        </w:rPr>
        <w:t>部分绩效指标存在指标名称不规范、指标值不合理等问题，如区发展改革局设置数量指标、质量指标名称均为“2021碳达峰碳中和论坛暨第九届国际低碳城论坛”，不能体现所需考核内容。</w:t>
      </w:r>
      <w:bookmarkStart w:id="23" w:name="_Toc111150187"/>
      <w:r>
        <w:rPr>
          <w:rFonts w:hint="eastAsia" w:ascii="仿宋_GB2312" w:hAnsi="仿宋_GB2312" w:cs="仿宋_GB2312"/>
          <w:b/>
          <w:bCs/>
          <w:lang w:eastAsia="zh-CN"/>
        </w:rPr>
        <w:t>二是</w:t>
      </w:r>
      <w:r>
        <w:rPr>
          <w:rFonts w:hint="eastAsia" w:ascii="仿宋_GB2312" w:hAnsi="仿宋_GB2312" w:eastAsia="仿宋_GB2312" w:cs="仿宋_GB2312"/>
          <w:b w:val="0"/>
          <w:bCs w:val="0"/>
        </w:rPr>
        <w:t>未跟踪达成意向项目落地情况</w:t>
      </w:r>
      <w:bookmarkEnd w:id="23"/>
      <w:r>
        <w:rPr>
          <w:rFonts w:hint="eastAsia" w:ascii="仿宋_GB2312" w:hAnsi="仿宋_GB2312" w:cs="仿宋_GB2312"/>
          <w:b w:val="0"/>
          <w:bCs w:val="0"/>
          <w:lang w:eastAsia="zh-CN"/>
        </w:rPr>
        <w:t>。</w:t>
      </w:r>
      <w:r>
        <w:rPr>
          <w:rFonts w:hint="eastAsia" w:ascii="仿宋_GB2312" w:hAnsi="仿宋_GB2312" w:eastAsia="仿宋_GB2312" w:cs="仿宋_GB2312"/>
          <w:b w:val="0"/>
          <w:bCs w:val="0"/>
        </w:rPr>
        <w:t>当前绩效目标及绩效指标设置中仅关注论坛举办情况及其宣传效果，未对依托论坛平台达成的合作、项目签约等进行持续关注。</w:t>
      </w:r>
    </w:p>
    <w:bookmarkEnd w:id="20"/>
    <w:p>
      <w:pPr>
        <w:pStyle w:val="5"/>
        <w:pageBreakBefore w:val="0"/>
        <w:widowControl w:val="0"/>
        <w:kinsoku/>
        <w:wordWrap/>
        <w:overflowPunct/>
        <w:topLinePunct w:val="0"/>
        <w:autoSpaceDE/>
        <w:autoSpaceDN/>
        <w:bidi w:val="0"/>
        <w:spacing w:line="560" w:lineRule="exact"/>
        <w:textAlignment w:val="auto"/>
        <w:rPr>
          <w:rFonts w:ascii="Times New Roman" w:hAnsi="Times New Roman"/>
          <w:b w:val="0"/>
          <w:bCs w:val="0"/>
        </w:rPr>
      </w:pPr>
      <w:bookmarkStart w:id="24" w:name="_Toc85012763"/>
      <w:bookmarkStart w:id="25" w:name="_Toc111150188"/>
      <w:r>
        <w:rPr>
          <w:rFonts w:ascii="Times New Roman" w:hAnsi="Times New Roman"/>
          <w:b w:val="0"/>
          <w:bCs w:val="0"/>
        </w:rPr>
        <w:t>（</w:t>
      </w:r>
      <w:r>
        <w:rPr>
          <w:rFonts w:hint="eastAsia" w:ascii="Times New Roman" w:hAnsi="Times New Roman"/>
          <w:b w:val="0"/>
          <w:bCs w:val="0"/>
        </w:rPr>
        <w:t>二</w:t>
      </w:r>
      <w:r>
        <w:rPr>
          <w:rFonts w:ascii="Times New Roman" w:hAnsi="Times New Roman"/>
          <w:b w:val="0"/>
          <w:bCs w:val="0"/>
        </w:rPr>
        <w:t>）</w:t>
      </w:r>
      <w:bookmarkEnd w:id="24"/>
      <w:r>
        <w:rPr>
          <w:rFonts w:hint="eastAsia" w:ascii="Times New Roman" w:hAnsi="Times New Roman"/>
          <w:b w:val="0"/>
          <w:bCs w:val="0"/>
        </w:rPr>
        <w:t>评审意见应用较差</w:t>
      </w:r>
      <w:r>
        <w:rPr>
          <w:rFonts w:ascii="Times New Roman" w:hAnsi="Times New Roman"/>
          <w:b w:val="0"/>
          <w:bCs w:val="0"/>
        </w:rPr>
        <w:t>，</w:t>
      </w:r>
      <w:r>
        <w:rPr>
          <w:rFonts w:hint="eastAsia" w:ascii="Times New Roman" w:hAnsi="Times New Roman"/>
          <w:b w:val="0"/>
          <w:bCs w:val="0"/>
        </w:rPr>
        <w:t>项目内容不够明确</w:t>
      </w:r>
      <w:bookmarkEnd w:id="25"/>
    </w:p>
    <w:p>
      <w:pPr>
        <w:pageBreakBefore w:val="0"/>
        <w:widowControl w:val="0"/>
        <w:kinsoku/>
        <w:wordWrap/>
        <w:overflowPunct/>
        <w:topLinePunct w:val="0"/>
        <w:autoSpaceDE/>
        <w:autoSpaceDN/>
        <w:bidi w:val="0"/>
        <w:spacing w:line="560" w:lineRule="exact"/>
        <w:ind w:firstLine="643" w:firstLineChars="200"/>
        <w:textAlignment w:val="auto"/>
        <w:outlineLvl w:val="9"/>
        <w:rPr>
          <w:rFonts w:hint="eastAsia" w:ascii="仿宋_GB2312" w:hAnsi="仿宋_GB2312" w:eastAsia="仿宋_GB2312" w:cs="仿宋_GB2312"/>
          <w:szCs w:val="32"/>
        </w:rPr>
      </w:pPr>
      <w:bookmarkStart w:id="26" w:name="_Toc111150189"/>
      <w:bookmarkStart w:id="27" w:name="_Toc106783996"/>
      <w:r>
        <w:rPr>
          <w:rFonts w:hint="eastAsia" w:ascii="仿宋_GB2312" w:hAnsi="仿宋_GB2312" w:cs="仿宋_GB2312"/>
          <w:b/>
          <w:bCs/>
          <w:lang w:eastAsia="zh-CN"/>
        </w:rPr>
        <w:t>一是</w:t>
      </w:r>
      <w:r>
        <w:rPr>
          <w:rFonts w:hint="eastAsia" w:ascii="仿宋_GB2312" w:hAnsi="仿宋_GB2312" w:eastAsia="仿宋_GB2312" w:cs="仿宋_GB2312"/>
          <w:b w:val="0"/>
          <w:bCs w:val="0"/>
        </w:rPr>
        <w:t>部分费用标准未依据事前评审意见调整</w:t>
      </w:r>
      <w:bookmarkEnd w:id="26"/>
      <w:r>
        <w:rPr>
          <w:rFonts w:hint="eastAsia" w:ascii="仿宋_GB2312" w:hAnsi="仿宋_GB2312" w:cs="仿宋_GB2312"/>
          <w:b w:val="0"/>
          <w:bCs w:val="0"/>
          <w:lang w:eastAsia="zh-CN"/>
        </w:rPr>
        <w:t>。</w:t>
      </w:r>
      <w:r>
        <w:rPr>
          <w:rFonts w:hint="eastAsia" w:ascii="仿宋_GB2312" w:hAnsi="仿宋_GB2312" w:eastAsia="仿宋_GB2312" w:cs="仿宋_GB2312"/>
          <w:b w:val="0"/>
          <w:bCs w:val="0"/>
        </w:rPr>
        <w:t>根据项目实际合同签订情况，项目总体预算控制在1,431.7万元之内，但部分单项未根据</w:t>
      </w:r>
      <w:r>
        <w:rPr>
          <w:rFonts w:hint="eastAsia" w:ascii="仿宋_GB2312" w:hAnsi="仿宋_GB2312" w:cs="仿宋_GB2312"/>
          <w:b w:val="0"/>
          <w:bCs w:val="0"/>
          <w:lang w:eastAsia="zh-CN"/>
        </w:rPr>
        <w:t>事前绩效</w:t>
      </w:r>
      <w:r>
        <w:rPr>
          <w:rFonts w:hint="eastAsia" w:ascii="仿宋_GB2312" w:hAnsi="仿宋_GB2312" w:eastAsia="仿宋_GB2312" w:cs="仿宋_GB2312"/>
          <w:b w:val="0"/>
          <w:bCs w:val="0"/>
        </w:rPr>
        <w:t>评审意见对单价进行调整，且未明确相应设备规格需求。</w:t>
      </w:r>
      <w:bookmarkEnd w:id="27"/>
      <w:bookmarkStart w:id="28" w:name="_Toc106783997"/>
      <w:bookmarkStart w:id="29" w:name="_Toc111150190"/>
      <w:r>
        <w:rPr>
          <w:rFonts w:hint="eastAsia" w:ascii="仿宋_GB2312" w:hAnsi="仿宋_GB2312" w:cs="仿宋_GB2312"/>
          <w:b/>
          <w:bCs/>
          <w:lang w:eastAsia="zh-CN"/>
        </w:rPr>
        <w:t>二是</w:t>
      </w:r>
      <w:r>
        <w:rPr>
          <w:rFonts w:hint="eastAsia" w:ascii="仿宋_GB2312" w:hAnsi="仿宋_GB2312" w:eastAsia="仿宋_GB2312" w:cs="仿宋_GB2312"/>
          <w:b w:val="0"/>
          <w:bCs w:val="0"/>
        </w:rPr>
        <w:t>部分子项结算</w:t>
      </w:r>
      <w:bookmarkEnd w:id="28"/>
      <w:r>
        <w:rPr>
          <w:rFonts w:hint="eastAsia" w:ascii="仿宋_GB2312" w:hAnsi="仿宋_GB2312" w:eastAsia="仿宋_GB2312" w:cs="仿宋_GB2312"/>
          <w:b w:val="0"/>
          <w:bCs w:val="0"/>
        </w:rPr>
        <w:t>标准不明确</w:t>
      </w:r>
      <w:bookmarkEnd w:id="29"/>
      <w:r>
        <w:rPr>
          <w:rFonts w:hint="eastAsia" w:ascii="仿宋_GB2312" w:hAnsi="仿宋_GB2312" w:cs="仿宋_GB2312"/>
          <w:b w:val="0"/>
          <w:bCs w:val="0"/>
          <w:lang w:eastAsia="zh-CN"/>
        </w:rPr>
        <w:t>。</w:t>
      </w:r>
      <w:r>
        <w:rPr>
          <w:rFonts w:hint="eastAsia" w:ascii="仿宋_GB2312" w:hAnsi="仿宋_GB2312" w:eastAsia="仿宋_GB2312" w:cs="仿宋_GB2312"/>
          <w:b w:val="0"/>
          <w:bCs w:val="0"/>
        </w:rPr>
        <w:t>区发展改革局签订的主论坛策划分论坛筹办合同、主论坛筹办媒体宣传、场馆服务保障合同等3个合同后附合同价的预算费用测算方式不够合理，未明确各细项费用的技术要求、实际成本、企业合理利润等，不利于后期审计据实结算。</w:t>
      </w:r>
      <w:r>
        <w:rPr>
          <w:rFonts w:hint="eastAsia" w:ascii="仿宋_GB2312" w:hAnsi="仿宋_GB2312" w:eastAsia="仿宋_GB2312" w:cs="仿宋_GB2312"/>
          <w:b w:val="0"/>
          <w:bCs w:val="0"/>
          <w:szCs w:val="32"/>
        </w:rPr>
        <w:t>区住房建设局签订的绿色建筑分论坛合同履约期限、展示项目成果时限及所有权不明确。</w:t>
      </w:r>
    </w:p>
    <w:bookmarkEnd w:id="17"/>
    <w:p>
      <w:pPr>
        <w:pStyle w:val="5"/>
        <w:pageBreakBefore w:val="0"/>
        <w:widowControl w:val="0"/>
        <w:kinsoku/>
        <w:wordWrap/>
        <w:overflowPunct/>
        <w:topLinePunct w:val="0"/>
        <w:autoSpaceDE/>
        <w:autoSpaceDN/>
        <w:bidi w:val="0"/>
        <w:spacing w:line="560" w:lineRule="exact"/>
        <w:textAlignment w:val="auto"/>
        <w:rPr>
          <w:rFonts w:ascii="Times New Roman" w:hAnsi="Times New Roman"/>
          <w:b w:val="0"/>
          <w:bCs w:val="0"/>
        </w:rPr>
      </w:pPr>
      <w:bookmarkStart w:id="30" w:name="_Toc111150191"/>
      <w:bookmarkStart w:id="31" w:name="_Toc50653296"/>
      <w:bookmarkStart w:id="32" w:name="_Toc85012765"/>
      <w:r>
        <w:rPr>
          <w:rFonts w:ascii="Times New Roman" w:hAnsi="Times New Roman"/>
          <w:b w:val="0"/>
          <w:bCs w:val="0"/>
        </w:rPr>
        <w:t>（</w:t>
      </w:r>
      <w:r>
        <w:rPr>
          <w:rFonts w:hint="eastAsia" w:ascii="Times New Roman" w:hAnsi="Times New Roman"/>
          <w:b w:val="0"/>
          <w:bCs w:val="0"/>
        </w:rPr>
        <w:t>三</w:t>
      </w:r>
      <w:r>
        <w:rPr>
          <w:rFonts w:ascii="Times New Roman" w:hAnsi="Times New Roman"/>
          <w:b w:val="0"/>
          <w:bCs w:val="0"/>
        </w:rPr>
        <w:t>）</w:t>
      </w:r>
      <w:r>
        <w:rPr>
          <w:rFonts w:hint="eastAsia" w:ascii="Times New Roman" w:hAnsi="Times New Roman"/>
          <w:b w:val="0"/>
          <w:bCs w:val="0"/>
        </w:rPr>
        <w:t>实施</w:t>
      </w:r>
      <w:r>
        <w:rPr>
          <w:rFonts w:ascii="Times New Roman" w:hAnsi="Times New Roman"/>
          <w:b w:val="0"/>
          <w:bCs w:val="0"/>
        </w:rPr>
        <w:t>流程不够规范</w:t>
      </w:r>
      <w:r>
        <w:rPr>
          <w:rFonts w:hint="eastAsia" w:ascii="Times New Roman" w:hAnsi="Times New Roman"/>
          <w:b w:val="0"/>
          <w:bCs w:val="0"/>
        </w:rPr>
        <w:t>，考核体系不够完善</w:t>
      </w:r>
      <w:bookmarkEnd w:id="30"/>
    </w:p>
    <w:p>
      <w:pPr>
        <w:pageBreakBefore w:val="0"/>
        <w:widowControl w:val="0"/>
        <w:kinsoku/>
        <w:wordWrap/>
        <w:overflowPunct/>
        <w:topLinePunct w:val="0"/>
        <w:autoSpaceDE/>
        <w:autoSpaceDN/>
        <w:bidi w:val="0"/>
        <w:spacing w:line="560" w:lineRule="exact"/>
        <w:ind w:firstLine="643" w:firstLineChars="200"/>
        <w:textAlignment w:val="auto"/>
        <w:outlineLvl w:val="9"/>
        <w:rPr>
          <w:rFonts w:hint="eastAsia" w:ascii="仿宋_GB2312" w:hAnsi="仿宋_GB2312" w:eastAsia="仿宋_GB2312" w:cs="仿宋_GB2312"/>
          <w:b w:val="0"/>
          <w:bCs w:val="0"/>
        </w:rPr>
      </w:pPr>
      <w:bookmarkStart w:id="33" w:name="_Toc111150192"/>
      <w:bookmarkStart w:id="34" w:name="_Hlk106719881"/>
      <w:r>
        <w:rPr>
          <w:rFonts w:hint="eastAsia" w:ascii="仿宋_GB2312" w:hAnsi="仿宋_GB2312" w:cs="仿宋_GB2312"/>
          <w:b/>
          <w:bCs/>
          <w:lang w:eastAsia="zh-CN"/>
        </w:rPr>
        <w:t>一是</w:t>
      </w:r>
      <w:r>
        <w:rPr>
          <w:rFonts w:hint="eastAsia" w:ascii="仿宋_GB2312" w:hAnsi="仿宋_GB2312" w:eastAsia="仿宋_GB2312" w:cs="仿宋_GB2312"/>
          <w:b w:val="0"/>
          <w:bCs w:val="0"/>
        </w:rPr>
        <w:t>项目实施过程不够规范</w:t>
      </w:r>
      <w:bookmarkEnd w:id="33"/>
      <w:r>
        <w:rPr>
          <w:rFonts w:hint="eastAsia" w:ascii="仿宋_GB2312" w:hAnsi="仿宋_GB2312" w:cs="仿宋_GB2312"/>
          <w:b w:val="0"/>
          <w:bCs w:val="0"/>
          <w:lang w:eastAsia="zh-CN"/>
        </w:rPr>
        <w:t>。</w:t>
      </w:r>
      <w:bookmarkEnd w:id="34"/>
      <w:r>
        <w:rPr>
          <w:rFonts w:hint="eastAsia" w:ascii="仿宋_GB2312" w:hAnsi="仿宋_GB2312" w:eastAsia="仿宋_GB2312" w:cs="仿宋_GB2312"/>
          <w:b w:val="0"/>
          <w:bCs w:val="0"/>
        </w:rPr>
        <w:t>项目实施统筹方面，绿色建筑分论坛经费</w:t>
      </w:r>
      <w:r>
        <w:rPr>
          <w:rFonts w:hint="eastAsia" w:ascii="仿宋_GB2312" w:hAnsi="仿宋_GB2312" w:cs="仿宋_GB2312"/>
          <w:b w:val="0"/>
          <w:bCs w:val="0"/>
          <w:lang w:eastAsia="zh-CN"/>
        </w:rPr>
        <w:t>并未按会议精神</w:t>
      </w:r>
      <w:r>
        <w:rPr>
          <w:rFonts w:hint="eastAsia" w:ascii="仿宋_GB2312" w:hAnsi="仿宋_GB2312" w:eastAsia="仿宋_GB2312" w:cs="仿宋_GB2312"/>
          <w:b w:val="0"/>
          <w:bCs w:val="0"/>
        </w:rPr>
        <w:t>落实。论坛总体筹办方面，</w:t>
      </w:r>
      <w:r>
        <w:rPr>
          <w:rFonts w:hint="eastAsia" w:ascii="仿宋_GB2312" w:hAnsi="仿宋_GB2312" w:cs="仿宋_GB2312"/>
          <w:b w:val="0"/>
          <w:bCs w:val="0"/>
          <w:lang w:eastAsia="zh-CN"/>
        </w:rPr>
        <w:t>区发展改革局</w:t>
      </w:r>
      <w:r>
        <w:rPr>
          <w:rFonts w:hint="eastAsia" w:ascii="仿宋_GB2312" w:hAnsi="仿宋_GB2312" w:eastAsia="仿宋_GB2312" w:cs="仿宋_GB2312"/>
          <w:b w:val="0"/>
          <w:bCs w:val="0"/>
        </w:rPr>
        <w:t>合同备案于论坛完成举办后开展</w:t>
      </w:r>
      <w:r>
        <w:rPr>
          <w:rFonts w:hint="eastAsia" w:ascii="仿宋_GB2312" w:hAnsi="仿宋_GB2312" w:cs="仿宋_GB2312"/>
          <w:b w:val="0"/>
          <w:bCs w:val="0"/>
          <w:lang w:eastAsia="zh-CN"/>
        </w:rPr>
        <w:t>，且</w:t>
      </w:r>
      <w:r>
        <w:rPr>
          <w:rFonts w:hint="eastAsia" w:ascii="仿宋_GB2312" w:hAnsi="仿宋_GB2312" w:eastAsia="仿宋_GB2312" w:cs="仿宋_GB2312"/>
          <w:b w:val="0"/>
          <w:bCs w:val="0"/>
        </w:rPr>
        <w:t>开标时间至论坛举办时间仅相隔一周，存在公开招标失败的风险。区住房建设局从合同签订到合同履行，中间准备和执行的时间极短，比较仓促。</w:t>
      </w:r>
      <w:bookmarkStart w:id="35" w:name="_Toc111150193"/>
      <w:bookmarkStart w:id="36" w:name="_Toc106784001"/>
    </w:p>
    <w:p>
      <w:pPr>
        <w:pageBreakBefore w:val="0"/>
        <w:widowControl w:val="0"/>
        <w:kinsoku/>
        <w:wordWrap/>
        <w:overflowPunct/>
        <w:topLinePunct w:val="0"/>
        <w:autoSpaceDE/>
        <w:autoSpaceDN/>
        <w:bidi w:val="0"/>
        <w:spacing w:line="560" w:lineRule="exact"/>
        <w:ind w:firstLine="643" w:firstLineChars="200"/>
        <w:textAlignment w:val="auto"/>
        <w:outlineLvl w:val="9"/>
        <w:rPr>
          <w:rFonts w:hint="eastAsia" w:ascii="仿宋_GB2312" w:hAnsi="仿宋_GB2312" w:eastAsia="仿宋_GB2312" w:cs="仿宋_GB2312"/>
        </w:rPr>
      </w:pPr>
      <w:r>
        <w:rPr>
          <w:rFonts w:hint="eastAsia" w:ascii="仿宋_GB2312" w:hAnsi="仿宋_GB2312" w:cs="仿宋_GB2312"/>
          <w:b/>
          <w:bCs/>
          <w:lang w:eastAsia="zh-CN"/>
        </w:rPr>
        <w:t>二是</w:t>
      </w:r>
      <w:r>
        <w:rPr>
          <w:rFonts w:hint="eastAsia" w:ascii="仿宋_GB2312" w:hAnsi="仿宋_GB2312" w:eastAsia="仿宋_GB2312" w:cs="仿宋_GB2312"/>
          <w:b w:val="0"/>
          <w:bCs w:val="0"/>
        </w:rPr>
        <w:t>服务考核及反馈体系不完善</w:t>
      </w:r>
      <w:bookmarkEnd w:id="35"/>
      <w:bookmarkEnd w:id="36"/>
      <w:r>
        <w:rPr>
          <w:rFonts w:hint="eastAsia" w:ascii="仿宋_GB2312" w:hAnsi="仿宋_GB2312" w:cs="仿宋_GB2312"/>
          <w:b w:val="0"/>
          <w:bCs w:val="0"/>
          <w:lang w:eastAsia="zh-CN"/>
        </w:rPr>
        <w:t>。</w:t>
      </w:r>
      <w:r>
        <w:rPr>
          <w:rFonts w:hint="eastAsia" w:ascii="仿宋_GB2312" w:hAnsi="仿宋_GB2312" w:eastAsia="仿宋_GB2312" w:cs="仿宋_GB2312"/>
          <w:b w:val="0"/>
          <w:bCs w:val="0"/>
        </w:rPr>
        <w:t>如在区发展改革局负责的论坛总体筹办及宣发方面，未设置明确的目标，不能充分调动服务供应商的积极性。同时，项目单位均未在论坛召开期间开展满意度调查工作</w:t>
      </w:r>
      <w:r>
        <w:rPr>
          <w:rFonts w:hint="eastAsia" w:ascii="仿宋_GB2312" w:hAnsi="仿宋_GB2312" w:cs="仿宋_GB2312"/>
          <w:b w:val="0"/>
          <w:bCs w:val="0"/>
          <w:lang w:eastAsia="zh-CN"/>
        </w:rPr>
        <w:t>，</w:t>
      </w:r>
      <w:r>
        <w:rPr>
          <w:rFonts w:hint="eastAsia" w:ascii="仿宋_GB2312" w:hAnsi="仿宋_GB2312" w:eastAsia="仿宋_GB2312" w:cs="仿宋_GB2312"/>
          <w:b w:val="0"/>
          <w:bCs w:val="0"/>
        </w:rPr>
        <w:t>区住房建设局满意度调查</w:t>
      </w:r>
      <w:r>
        <w:rPr>
          <w:rFonts w:hint="eastAsia" w:ascii="仿宋_GB2312" w:hAnsi="仿宋_GB2312" w:cs="仿宋_GB2312"/>
          <w:b w:val="0"/>
          <w:bCs w:val="0"/>
          <w:lang w:eastAsia="zh-CN"/>
        </w:rPr>
        <w:t>参与人数与</w:t>
      </w:r>
      <w:r>
        <w:rPr>
          <w:rFonts w:hint="eastAsia" w:ascii="仿宋_GB2312" w:hAnsi="仿宋_GB2312" w:eastAsia="仿宋_GB2312" w:cs="仿宋_GB2312"/>
          <w:b w:val="0"/>
          <w:bCs w:val="0"/>
        </w:rPr>
        <w:t>分论坛实际参会人员规模有较大差距。</w:t>
      </w:r>
    </w:p>
    <w:p>
      <w:pPr>
        <w:pageBreakBefore w:val="0"/>
        <w:widowControl w:val="0"/>
        <w:kinsoku/>
        <w:wordWrap/>
        <w:overflowPunct/>
        <w:topLinePunct w:val="0"/>
        <w:autoSpaceDE/>
        <w:autoSpaceDN/>
        <w:bidi w:val="0"/>
        <w:spacing w:line="560" w:lineRule="exact"/>
        <w:ind w:firstLine="643" w:firstLineChars="200"/>
        <w:textAlignment w:val="auto"/>
        <w:outlineLvl w:val="9"/>
        <w:rPr>
          <w:rFonts w:hint="eastAsia" w:ascii="仿宋_GB2312" w:hAnsi="仿宋_GB2312" w:eastAsia="仿宋_GB2312" w:cs="仿宋_GB2312"/>
          <w:b w:val="0"/>
          <w:bCs w:val="0"/>
        </w:rPr>
      </w:pPr>
      <w:bookmarkStart w:id="37" w:name="_Toc111150194"/>
      <w:r>
        <w:rPr>
          <w:rFonts w:hint="eastAsia" w:ascii="仿宋_GB2312" w:hAnsi="仿宋_GB2312" w:cs="仿宋_GB2312"/>
          <w:b/>
          <w:bCs/>
          <w:lang w:eastAsia="zh-CN"/>
        </w:rPr>
        <w:t>三是</w:t>
      </w:r>
      <w:r>
        <w:rPr>
          <w:rFonts w:hint="eastAsia" w:ascii="仿宋_GB2312" w:hAnsi="仿宋_GB2312" w:eastAsia="仿宋_GB2312" w:cs="仿宋_GB2312"/>
          <w:b w:val="0"/>
          <w:bCs w:val="0"/>
        </w:rPr>
        <w:t>部分服务需求对服务供应商缺乏约束力</w:t>
      </w:r>
      <w:bookmarkEnd w:id="37"/>
      <w:r>
        <w:rPr>
          <w:rFonts w:hint="eastAsia" w:ascii="仿宋_GB2312" w:hAnsi="仿宋_GB2312" w:cs="仿宋_GB2312"/>
          <w:b w:val="0"/>
          <w:bCs w:val="0"/>
          <w:lang w:eastAsia="zh-CN"/>
        </w:rPr>
        <w:t>。</w:t>
      </w:r>
      <w:r>
        <w:rPr>
          <w:rFonts w:hint="eastAsia" w:ascii="仿宋_GB2312" w:hAnsi="仿宋_GB2312" w:eastAsia="仿宋_GB2312" w:cs="仿宋_GB2312"/>
          <w:b w:val="0"/>
          <w:bCs w:val="0"/>
        </w:rPr>
        <w:t>区发展改革局签订的服务合同要求筹备组织“聘用不少于9名核心工作人员，专门负责筹备论坛，服务期限不少于6个月”“聘用10名工作人员，工作时间不少于两个月”，但合同签订时间与论坛召开时间相差仅数日，服务量客观上无法实现。</w:t>
      </w:r>
    </w:p>
    <w:p>
      <w:pPr>
        <w:pageBreakBefore w:val="0"/>
        <w:widowControl w:val="0"/>
        <w:kinsoku/>
        <w:wordWrap/>
        <w:overflowPunct/>
        <w:topLinePunct w:val="0"/>
        <w:autoSpaceDE/>
        <w:autoSpaceDN/>
        <w:bidi w:val="0"/>
        <w:spacing w:line="560" w:lineRule="exact"/>
        <w:ind w:firstLine="643" w:firstLineChars="200"/>
        <w:textAlignment w:val="auto"/>
        <w:outlineLvl w:val="9"/>
        <w:rPr>
          <w:rFonts w:hint="eastAsia" w:ascii="仿宋_GB2312" w:hAnsi="仿宋_GB2312" w:eastAsia="仿宋_GB2312" w:cs="仿宋_GB2312"/>
          <w:szCs w:val="32"/>
        </w:rPr>
      </w:pPr>
      <w:bookmarkStart w:id="38" w:name="_Toc111150195"/>
      <w:bookmarkStart w:id="39" w:name="_Toc106783998"/>
      <w:r>
        <w:rPr>
          <w:rFonts w:hint="eastAsia" w:ascii="仿宋_GB2312" w:hAnsi="仿宋_GB2312" w:cs="仿宋_GB2312"/>
          <w:b/>
          <w:bCs/>
          <w:lang w:eastAsia="zh-CN"/>
        </w:rPr>
        <w:t>四是</w:t>
      </w:r>
      <w:r>
        <w:rPr>
          <w:rFonts w:hint="eastAsia" w:ascii="仿宋_GB2312" w:hAnsi="仿宋_GB2312" w:eastAsia="仿宋_GB2312" w:cs="仿宋_GB2312"/>
          <w:b w:val="0"/>
          <w:bCs w:val="0"/>
        </w:rPr>
        <w:t>支付进度滞后</w:t>
      </w:r>
      <w:bookmarkEnd w:id="38"/>
      <w:bookmarkEnd w:id="39"/>
      <w:r>
        <w:rPr>
          <w:rFonts w:hint="eastAsia" w:ascii="仿宋_GB2312" w:hAnsi="仿宋_GB2312" w:cs="仿宋_GB2312"/>
          <w:b w:val="0"/>
          <w:bCs w:val="0"/>
          <w:lang w:eastAsia="zh-CN"/>
        </w:rPr>
        <w:t>。</w:t>
      </w:r>
      <w:r>
        <w:rPr>
          <w:rFonts w:hint="eastAsia" w:ascii="仿宋_GB2312" w:hAnsi="仿宋_GB2312" w:eastAsia="仿宋_GB2312" w:cs="仿宋_GB2312"/>
          <w:b w:val="0"/>
          <w:bCs w:val="0"/>
          <w:szCs w:val="32"/>
        </w:rPr>
        <w:t>根据上级批复，区住房建设局两项合同款应分三期支付。但在实际支付过程中，实际支付均为两期支付。区发展改革局签订的龙岗区</w:t>
      </w:r>
      <w:r>
        <w:rPr>
          <w:rFonts w:hint="eastAsia" w:ascii="仿宋_GB2312" w:hAnsi="仿宋_GB2312" w:eastAsia="仿宋_GB2312" w:cs="仿宋_GB2312"/>
          <w:b w:val="0"/>
          <w:bCs w:val="0"/>
        </w:rPr>
        <w:t>“双碳”工</w:t>
      </w:r>
      <w:r>
        <w:rPr>
          <w:rFonts w:hint="eastAsia" w:ascii="仿宋_GB2312" w:hAnsi="仿宋_GB2312" w:eastAsia="仿宋_GB2312" w:cs="仿宋_GB2312"/>
          <w:b w:val="0"/>
          <w:bCs w:val="0"/>
          <w:szCs w:val="32"/>
        </w:rPr>
        <w:t>作宣传片的制作合同并未约定需要审计，该项预算在2022年1月份已经下达额度至项目单位，但至2022年5月底仍未支付尾款，支付进度滞后</w:t>
      </w:r>
      <w:r>
        <w:rPr>
          <w:rFonts w:hint="eastAsia" w:ascii="仿宋_GB2312" w:hAnsi="仿宋_GB2312" w:eastAsia="仿宋_GB2312" w:cs="仿宋_GB2312"/>
          <w:szCs w:val="32"/>
        </w:rPr>
        <w:t>。</w:t>
      </w:r>
    </w:p>
    <w:p>
      <w:pPr>
        <w:pStyle w:val="3"/>
        <w:pageBreakBefore w:val="0"/>
        <w:widowControl w:val="0"/>
        <w:kinsoku/>
        <w:wordWrap/>
        <w:overflowPunct/>
        <w:topLinePunct w:val="0"/>
        <w:autoSpaceDE/>
        <w:autoSpaceDN/>
        <w:bidi w:val="0"/>
        <w:spacing w:line="560" w:lineRule="exact"/>
        <w:ind w:firstLine="640"/>
        <w:textAlignment w:val="auto"/>
        <w:rPr>
          <w:rFonts w:ascii="Times New Roman"/>
        </w:rPr>
      </w:pPr>
      <w:bookmarkStart w:id="40" w:name="_Toc111150196"/>
      <w:r>
        <w:rPr>
          <w:rFonts w:hint="eastAsia" w:ascii="Times New Roman"/>
          <w:lang w:eastAsia="zh-CN"/>
        </w:rPr>
        <w:t>四</w:t>
      </w:r>
      <w:r>
        <w:rPr>
          <w:rFonts w:ascii="Times New Roman"/>
        </w:rPr>
        <w:t>、建议及举措</w:t>
      </w:r>
      <w:bookmarkEnd w:id="31"/>
      <w:bookmarkEnd w:id="32"/>
      <w:bookmarkEnd w:id="40"/>
    </w:p>
    <w:p>
      <w:pPr>
        <w:pStyle w:val="5"/>
        <w:pageBreakBefore w:val="0"/>
        <w:widowControl w:val="0"/>
        <w:kinsoku/>
        <w:wordWrap/>
        <w:overflowPunct/>
        <w:topLinePunct w:val="0"/>
        <w:autoSpaceDE/>
        <w:autoSpaceDN/>
        <w:bidi w:val="0"/>
        <w:spacing w:line="560" w:lineRule="exact"/>
        <w:textAlignment w:val="auto"/>
        <w:rPr>
          <w:rFonts w:ascii="Times New Roman" w:hAnsi="Times New Roman"/>
          <w:b w:val="0"/>
          <w:bCs w:val="0"/>
        </w:rPr>
      </w:pPr>
      <w:bookmarkStart w:id="41" w:name="_Toc85012767"/>
      <w:bookmarkStart w:id="42" w:name="_Toc111150197"/>
      <w:bookmarkStart w:id="43" w:name="_Toc85012766"/>
      <w:bookmarkStart w:id="44" w:name="_Toc50653297"/>
      <w:r>
        <w:rPr>
          <w:rFonts w:ascii="Times New Roman" w:hAnsi="Times New Roman"/>
          <w:b w:val="0"/>
          <w:bCs w:val="0"/>
        </w:rPr>
        <w:t>（</w:t>
      </w:r>
      <w:r>
        <w:rPr>
          <w:rFonts w:hint="eastAsia" w:ascii="Times New Roman" w:hAnsi="Times New Roman"/>
          <w:b w:val="0"/>
          <w:bCs w:val="0"/>
        </w:rPr>
        <w:t>一</w:t>
      </w:r>
      <w:r>
        <w:rPr>
          <w:rFonts w:ascii="Times New Roman" w:hAnsi="Times New Roman"/>
          <w:b w:val="0"/>
          <w:bCs w:val="0"/>
        </w:rPr>
        <w:t>）</w:t>
      </w:r>
      <w:bookmarkEnd w:id="41"/>
      <w:bookmarkStart w:id="45" w:name="_Toc50653300"/>
      <w:r>
        <w:rPr>
          <w:rFonts w:hint="eastAsia" w:ascii="Times New Roman" w:hAnsi="Times New Roman"/>
          <w:b w:val="0"/>
          <w:bCs w:val="0"/>
        </w:rPr>
        <w:t>重视项目效益跟踪，</w:t>
      </w:r>
      <w:r>
        <w:rPr>
          <w:rFonts w:hint="eastAsia"/>
          <w:b w:val="0"/>
          <w:bCs w:val="0"/>
        </w:rPr>
        <w:t>形成</w:t>
      </w:r>
      <w:r>
        <w:rPr>
          <w:b w:val="0"/>
          <w:bCs w:val="0"/>
        </w:rPr>
        <w:t>绩效管理体系</w:t>
      </w:r>
      <w:bookmarkEnd w:id="42"/>
    </w:p>
    <w:p>
      <w:pPr>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建议主管部门完善论坛举办的绩效管理体系，重视社会效益的衡量，并重点关注相关合作意向、技术成果的落地和转化。</w:t>
      </w:r>
    </w:p>
    <w:p>
      <w:pPr>
        <w:pStyle w:val="6"/>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rPr>
      </w:pPr>
      <w:bookmarkStart w:id="46" w:name="_Toc111150198"/>
      <w:r>
        <w:rPr>
          <w:rFonts w:hint="eastAsia" w:ascii="仿宋_GB2312" w:hAnsi="仿宋_GB2312" w:eastAsia="仿宋_GB2312" w:cs="仿宋_GB2312"/>
        </w:rPr>
        <w:t>1.关注项目签约落地情况</w:t>
      </w:r>
      <w:bookmarkEnd w:id="46"/>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增加能够反映论坛平台作用发挥情况的目标和指标，如成果落地的签约率、合作意向书的数量等等，以进一步提升本项目的实施效果，重点关注项目与资本方、产业方的点对点对接和接洽的机会，结合市、区的发展需要及“双碳”工作要求，推动低碳技术、项目与资本的有效对接，构建展示先进低碳技术，促进交流合作，引领产业发展的重要桥梁。</w:t>
      </w:r>
    </w:p>
    <w:p>
      <w:pPr>
        <w:pStyle w:val="6"/>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rPr>
      </w:pPr>
      <w:bookmarkStart w:id="47" w:name="_Toc111150199"/>
      <w:r>
        <w:rPr>
          <w:rFonts w:hint="eastAsia" w:ascii="仿宋_GB2312" w:hAnsi="仿宋_GB2312" w:eastAsia="仿宋_GB2312" w:cs="仿宋_GB2312"/>
        </w:rPr>
        <w:t>2.重视论坛举办反馈</w:t>
      </w:r>
      <w:bookmarkEnd w:id="47"/>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增加意见反馈渠道并增设相应考核内容。论坛参会人员为论坛筹办工作最直接的服务对象，能够提供最直观的反馈意见。通过对其进行收集，有利于不断优化和完善工作内容，同时也是对项目实施、服务供应商考核最有效的衡量标准之一。故建议在后续工作中设置相应绩效指标及合同考核条款，并通过论坛信息公示平台及时公布满意度调查及意见反馈途径，及时收集参会人员反馈意见。</w:t>
      </w:r>
    </w:p>
    <w:p>
      <w:pPr>
        <w:pStyle w:val="6"/>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rPr>
      </w:pPr>
      <w:bookmarkStart w:id="48" w:name="_Toc111150200"/>
      <w:r>
        <w:rPr>
          <w:rFonts w:hint="eastAsia" w:ascii="仿宋_GB2312" w:hAnsi="仿宋_GB2312" w:eastAsia="仿宋_GB2312" w:cs="仿宋_GB2312"/>
        </w:rPr>
        <w:t>3.细化指标设置，加强服务供应商考核</w:t>
      </w:r>
      <w:bookmarkEnd w:id="48"/>
    </w:p>
    <w:p>
      <w:pPr>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完善项目效益指标设置，明确各类知名度、宣传效果相关绩效指标的衡量方式。同时在合同中补充相应的考核指标，如对各渠道观看人次、报道数量等相关情况进行考核标准，以便直观掌握宣发工作的完成情况、加强对服务供应商的工作考核。</w:t>
      </w:r>
      <w:bookmarkEnd w:id="45"/>
    </w:p>
    <w:p>
      <w:pPr>
        <w:pStyle w:val="5"/>
        <w:pageBreakBefore w:val="0"/>
        <w:widowControl w:val="0"/>
        <w:kinsoku/>
        <w:wordWrap/>
        <w:overflowPunct/>
        <w:topLinePunct w:val="0"/>
        <w:autoSpaceDE/>
        <w:autoSpaceDN/>
        <w:bidi w:val="0"/>
        <w:spacing w:line="560" w:lineRule="exact"/>
        <w:textAlignment w:val="auto"/>
        <w:rPr>
          <w:rFonts w:ascii="Times New Roman" w:hAnsi="Times New Roman"/>
          <w:b w:val="0"/>
          <w:bCs w:val="0"/>
        </w:rPr>
      </w:pPr>
      <w:bookmarkStart w:id="49" w:name="_Toc111150201"/>
      <w:r>
        <w:rPr>
          <w:rFonts w:ascii="Times New Roman" w:hAnsi="Times New Roman"/>
          <w:b w:val="0"/>
          <w:bCs w:val="0"/>
        </w:rPr>
        <w:t>（</w:t>
      </w:r>
      <w:r>
        <w:rPr>
          <w:rFonts w:hint="eastAsia" w:ascii="Times New Roman" w:hAnsi="Times New Roman"/>
          <w:b w:val="0"/>
          <w:bCs w:val="0"/>
        </w:rPr>
        <w:t>二</w:t>
      </w:r>
      <w:r>
        <w:rPr>
          <w:rFonts w:ascii="Times New Roman" w:hAnsi="Times New Roman"/>
          <w:b w:val="0"/>
          <w:bCs w:val="0"/>
        </w:rPr>
        <w:t>）</w:t>
      </w:r>
      <w:r>
        <w:rPr>
          <w:rFonts w:hint="eastAsia" w:ascii="Times New Roman" w:hAnsi="Times New Roman"/>
          <w:b w:val="0"/>
          <w:bCs w:val="0"/>
        </w:rPr>
        <w:t>加强评审意见应用，完善前期准备工作</w:t>
      </w:r>
      <w:bookmarkEnd w:id="49"/>
    </w:p>
    <w:p>
      <w:pPr>
        <w:pStyle w:val="6"/>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rPr>
      </w:pPr>
      <w:bookmarkStart w:id="50" w:name="_Toc111150202"/>
      <w:bookmarkStart w:id="51" w:name="_Toc106784005"/>
      <w:r>
        <w:rPr>
          <w:rFonts w:hint="eastAsia" w:ascii="仿宋_GB2312" w:hAnsi="仿宋_GB2312" w:eastAsia="仿宋_GB2312" w:cs="仿宋_GB2312"/>
        </w:rPr>
        <w:t>1.加强评审意见运用，调整项目费用标准，明确实施需求</w:t>
      </w:r>
      <w:bookmarkEnd w:id="50"/>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在项目已开展过事前预算绩效评审的情况下，建议项目单位加强评审意见的运用，进一步细化子项预算内容，合理调整项目内容及费用标准；对于在项目实施过程中确需进行调整的子项或其费用标准，需补充完善其实施必要性和内容、规格等具体情况。</w:t>
      </w:r>
    </w:p>
    <w:p>
      <w:pPr>
        <w:pStyle w:val="6"/>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rPr>
      </w:pPr>
      <w:bookmarkStart w:id="52" w:name="_Toc111150203"/>
      <w:r>
        <w:rPr>
          <w:rFonts w:hint="eastAsia" w:ascii="仿宋_GB2312" w:hAnsi="仿宋_GB2312" w:eastAsia="仿宋_GB2312" w:cs="仿宋_GB2312"/>
        </w:rPr>
        <w:t>2</w:t>
      </w:r>
      <w:r>
        <w:rPr>
          <w:rFonts w:hint="eastAsia" w:ascii="仿宋_GB2312" w:hAnsi="仿宋_GB2312" w:eastAsia="仿宋_GB2312" w:cs="仿宋_GB2312"/>
          <w:lang w:val="en-US"/>
        </w:rPr>
        <w:t>.</w:t>
      </w:r>
      <w:r>
        <w:rPr>
          <w:rFonts w:hint="eastAsia" w:ascii="仿宋_GB2312" w:hAnsi="仿宋_GB2312" w:eastAsia="仿宋_GB2312" w:cs="仿宋_GB2312"/>
        </w:rPr>
        <w:t>在前期准备工作中明确实施要求</w:t>
      </w:r>
      <w:bookmarkEnd w:id="51"/>
      <w:bookmarkEnd w:id="52"/>
    </w:p>
    <w:p>
      <w:pPr>
        <w:pageBreakBefore w:val="0"/>
        <w:widowControl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rPr>
        <w:t>由于下届论坛是否能够实施以及本区是否能够承办本项目仍存在一定的不确定性，可能存在前期准备工作时间不足的问题，建议在前期准备工作中明确以下内容：</w:t>
      </w:r>
    </w:p>
    <w:p>
      <w:pPr>
        <w:pageBreakBefore w:val="0"/>
        <w:widowControl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rPr>
        <w:t>（1）在招标文件中明确工作的大致范围，明确策划、管理等相关费用标准。结合往届论坛举办及其他同类项目开展经验，参照本届论坛服务供应商交付成果文件、人员配置、实施规模，形成初步工作方案，可对后续论坛召开所需工作内容进行初步判断，并据此明确需要购买服务的内容及范围，并对费用标准范围进行限制。</w:t>
      </w:r>
    </w:p>
    <w:p>
      <w:pPr>
        <w:pageBreakBefore w:val="0"/>
        <w:widowControl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rPr>
        <w:t>（2）根据项目实际开展时间及招标采购流程开展时间调整合同内容。在招标文件及合同中，根据当时实际进度要求及筹备时间情况设置相应条款，也可以通过工作要求、考核标准（如公众号、官网、新闻阅读量，各时间点进度要求，参会人员满意度等）等不同维度的条款对服务供应商提供服务情况进行约束。</w:t>
      </w:r>
    </w:p>
    <w:p>
      <w:pPr>
        <w:pageBreakBefore w:val="0"/>
        <w:widowControl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rPr>
        <w:t>（3）为向后期审计提供依据，建议明确第三方合理利润率，最终按审计的实际成本及合理利润率确定应支付的合同总价等内容。</w:t>
      </w:r>
    </w:p>
    <w:p>
      <w:pPr>
        <w:pageBreakBefore w:val="0"/>
        <w:widowControl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rPr>
        <w:t>（4）在项目筹备时间紧张，前期由不同机构实质开展工作的情况下，建议在合同中明确该项目最终不能承办后，未中标方的沉没成本的补偿方式等。</w:t>
      </w:r>
    </w:p>
    <w:p>
      <w:pPr>
        <w:pStyle w:val="5"/>
        <w:pageBreakBefore w:val="0"/>
        <w:widowControl w:val="0"/>
        <w:kinsoku/>
        <w:wordWrap/>
        <w:overflowPunct/>
        <w:topLinePunct w:val="0"/>
        <w:autoSpaceDE/>
        <w:autoSpaceDN/>
        <w:bidi w:val="0"/>
        <w:spacing w:line="560" w:lineRule="exact"/>
        <w:textAlignment w:val="auto"/>
        <w:rPr>
          <w:rFonts w:ascii="Times New Roman" w:hAnsi="Times New Roman"/>
          <w:b w:val="0"/>
          <w:bCs w:val="0"/>
        </w:rPr>
      </w:pPr>
      <w:bookmarkStart w:id="53" w:name="_Toc111150204"/>
      <w:r>
        <w:rPr>
          <w:rFonts w:hint="eastAsia" w:ascii="Times New Roman" w:hAnsi="Times New Roman"/>
          <w:b w:val="0"/>
          <w:bCs w:val="0"/>
        </w:rPr>
        <w:t>（三）</w:t>
      </w:r>
      <w:r>
        <w:rPr>
          <w:rFonts w:ascii="Times New Roman" w:hAnsi="Times New Roman"/>
          <w:b w:val="0"/>
          <w:bCs w:val="0"/>
        </w:rPr>
        <w:t>规范</w:t>
      </w:r>
      <w:r>
        <w:rPr>
          <w:rFonts w:hint="eastAsia" w:ascii="Times New Roman" w:hAnsi="Times New Roman"/>
          <w:b w:val="0"/>
          <w:bCs w:val="0"/>
        </w:rPr>
        <w:t>项目实施流程，明确后期结算要求</w:t>
      </w:r>
      <w:bookmarkEnd w:id="53"/>
    </w:p>
    <w:p>
      <w:pPr>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计划相关表述，建议在2021年实施经验的基础上，完善项目实施要求，为下届论坛筹办或同类项目实施提供参考。</w:t>
      </w:r>
    </w:p>
    <w:p>
      <w:pPr>
        <w:pStyle w:val="6"/>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rPr>
      </w:pPr>
      <w:bookmarkStart w:id="54" w:name="_Toc106784004"/>
      <w:bookmarkStart w:id="55" w:name="_Toc111150205"/>
      <w:r>
        <w:rPr>
          <w:rFonts w:hint="eastAsia" w:ascii="仿宋_GB2312" w:hAnsi="仿宋_GB2312" w:eastAsia="仿宋_GB2312" w:cs="仿宋_GB2312"/>
        </w:rPr>
        <w:t>1.规范开展招标采购工作</w:t>
      </w:r>
      <w:bookmarkEnd w:id="54"/>
      <w:bookmarkEnd w:id="55"/>
    </w:p>
    <w:p>
      <w:pPr>
        <w:pageBreakBefore w:val="0"/>
        <w:widowControl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rPr>
        <w:t>建议在实施同类项目或开展第十届低碳城论坛时，规范开展公开招标，根据《深圳经济特区政府采购条例》《深圳经济特区政府采购条例实施细则》等文件规定严格执行，并履行验收、结算、付款以及其他合同约定的其他义务，避免后续政府采购合规性方面存在的风险。</w:t>
      </w:r>
    </w:p>
    <w:p>
      <w:pPr>
        <w:pStyle w:val="6"/>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rPr>
      </w:pPr>
      <w:bookmarkStart w:id="56" w:name="_Toc111150206"/>
      <w:r>
        <w:rPr>
          <w:rFonts w:hint="eastAsia" w:ascii="仿宋_GB2312" w:hAnsi="仿宋_GB2312" w:eastAsia="仿宋_GB2312" w:cs="仿宋_GB2312"/>
        </w:rPr>
        <w:t>2.明确后期审计要求，确保结算合理节约</w:t>
      </w:r>
      <w:bookmarkEnd w:id="56"/>
    </w:p>
    <w:p>
      <w:pPr>
        <w:pageBreakBefore w:val="0"/>
        <w:widowControl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rPr>
        <w:t>目前，区发展改革局负责的论坛总策划及分论坛筹办，主论坛筹办、媒体宣传、外围环境营造及A馆策展，场馆服务保障等三个合同仍在进行审计工作。建议项目单位明确审计要求，要求审计机构在报告中列明具体每个细项的数量、单价等实际成本，并列明详细的核增或核减的理由，以避免项目实施成本过高的风险。如路演线上2场共计3个小时的会议，预算为60.2万元，其具体成本构成是怎样的，包括哪些细项，费用金额是否合理等，在各项支出均</w:t>
      </w:r>
      <w:r>
        <w:rPr>
          <w:rFonts w:hint="eastAsia" w:ascii="仿宋_GB2312" w:hAnsi="仿宋_GB2312" w:eastAsia="仿宋_GB2312" w:cs="仿宋_GB2312"/>
          <w:lang w:eastAsia="zh-CN"/>
        </w:rPr>
        <w:t>应</w:t>
      </w:r>
      <w:r>
        <w:rPr>
          <w:rFonts w:hint="eastAsia" w:ascii="仿宋_GB2312" w:hAnsi="仿宋_GB2312" w:eastAsia="仿宋_GB2312" w:cs="仿宋_GB2312"/>
        </w:rPr>
        <w:t>形成确实的</w:t>
      </w:r>
      <w:r>
        <w:rPr>
          <w:rFonts w:hint="eastAsia" w:ascii="仿宋_GB2312" w:hAnsi="仿宋_GB2312" w:eastAsia="仿宋_GB2312" w:cs="仿宋_GB2312"/>
          <w:lang w:eastAsia="zh-CN"/>
        </w:rPr>
        <w:t>佐证材料</w:t>
      </w:r>
      <w:r>
        <w:rPr>
          <w:rFonts w:hint="eastAsia" w:ascii="仿宋_GB2312" w:hAnsi="仿宋_GB2312" w:eastAsia="仿宋_GB2312" w:cs="仿宋_GB2312"/>
        </w:rPr>
        <w:t>后结算尾款。</w:t>
      </w:r>
      <w:bookmarkEnd w:id="43"/>
      <w:bookmarkEnd w:id="44"/>
    </w:p>
    <w:sectPr>
      <w:headerReference r:id="rId3" w:type="default"/>
      <w:footerReference r:id="rId4" w:type="default"/>
      <w:pgSz w:w="11906" w:h="16838"/>
      <w:pgMar w:top="1701" w:right="1474" w:bottom="1701" w:left="1587"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rPr>
        <w:rFonts w:ascii="宋体" w:hAnsi="宋体" w:eastAsia="宋体"/>
        <w:sz w:val="24"/>
        <w:szCs w:val="24"/>
      </w:rPr>
    </w:pPr>
    <w:r>
      <w:rPr>
        <w:rFonts w:hint="eastAsia" w:ascii="宋体" w:hAnsi="宋体" w:eastAsia="宋体"/>
        <w:sz w:val="24"/>
        <w:szCs w:val="24"/>
      </w:rPr>
      <w:fldChar w:fldCharType="begin"/>
    </w:r>
    <w:r>
      <w:rPr>
        <w:rFonts w:hint="eastAsia" w:ascii="宋体" w:hAnsi="宋体" w:eastAsia="宋体"/>
        <w:sz w:val="24"/>
        <w:szCs w:val="24"/>
      </w:rPr>
      <w:instrText xml:space="preserve">PAGE   \* MERGEFORMAT</w:instrText>
    </w:r>
    <w:r>
      <w:rPr>
        <w:rFonts w:hint="eastAsia" w:ascii="宋体" w:hAnsi="宋体" w:eastAsia="宋体"/>
        <w:sz w:val="24"/>
        <w:szCs w:val="24"/>
      </w:rPr>
      <w:fldChar w:fldCharType="separate"/>
    </w:r>
    <w:r>
      <w:rPr>
        <w:rFonts w:hint="eastAsia" w:ascii="宋体" w:hAnsi="宋体" w:eastAsia="宋体"/>
        <w:sz w:val="24"/>
        <w:szCs w:val="24"/>
        <w:lang w:val="zh-CN"/>
      </w:rPr>
      <w:t>-</w:t>
    </w:r>
    <w:r>
      <w:rPr>
        <w:rFonts w:hint="eastAsia" w:ascii="宋体" w:hAnsi="宋体" w:eastAsia="宋体"/>
        <w:sz w:val="24"/>
        <w:szCs w:val="24"/>
      </w:rPr>
      <w:t xml:space="preserve"> 11 -</w:t>
    </w:r>
    <w:r>
      <w:rPr>
        <w:rFonts w:hint="eastAsia" w:ascii="宋体" w:hAnsi="宋体" w:eastAsia="宋体"/>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1NWIzOTRiM2Q3OWMwMWUwZDEwMDVhOWYxOWUyNjEifQ=="/>
  </w:docVars>
  <w:rsids>
    <w:rsidRoot w:val="00000000"/>
    <w:rsid w:val="09DA77FC"/>
    <w:rsid w:val="18CF3A69"/>
    <w:rsid w:val="1FC315EB"/>
    <w:rsid w:val="28A523D6"/>
    <w:rsid w:val="31FC3546"/>
    <w:rsid w:val="32CD697B"/>
    <w:rsid w:val="36137470"/>
    <w:rsid w:val="3B3C1DA8"/>
    <w:rsid w:val="3B447373"/>
    <w:rsid w:val="3E82354B"/>
    <w:rsid w:val="491F4855"/>
    <w:rsid w:val="4DFF5BB7"/>
    <w:rsid w:val="53CE3105"/>
    <w:rsid w:val="56D64C42"/>
    <w:rsid w:val="5F517293"/>
    <w:rsid w:val="60FD19A7"/>
    <w:rsid w:val="668518D2"/>
    <w:rsid w:val="679F2643"/>
    <w:rsid w:val="6C50510E"/>
    <w:rsid w:val="73E7E7C3"/>
    <w:rsid w:val="74E30B7A"/>
    <w:rsid w:val="755BCC01"/>
    <w:rsid w:val="76FB9E8A"/>
    <w:rsid w:val="77D711BB"/>
    <w:rsid w:val="790964B4"/>
    <w:rsid w:val="7F447573"/>
    <w:rsid w:val="7FDFDDDE"/>
    <w:rsid w:val="AFD50C1D"/>
    <w:rsid w:val="BEDE9F25"/>
    <w:rsid w:val="DBEEFE81"/>
    <w:rsid w:val="DD7B86FA"/>
    <w:rsid w:val="E73F40BF"/>
    <w:rsid w:val="EEFB3DFF"/>
    <w:rsid w:val="F7EFB984"/>
    <w:rsid w:val="F8FDF38E"/>
    <w:rsid w:val="FFF7F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4"/>
    <w:next w:val="4"/>
    <w:qFormat/>
    <w:uiPriority w:val="9"/>
    <w:pPr>
      <w:keepNext/>
      <w:keepLines/>
      <w:ind w:firstLine="643"/>
      <w:outlineLvl w:val="0"/>
    </w:pPr>
    <w:rPr>
      <w:rFonts w:ascii="仿宋_GB2312" w:eastAsia="黑体"/>
      <w:kern w:val="44"/>
      <w:szCs w:val="44"/>
    </w:rPr>
  </w:style>
  <w:style w:type="paragraph" w:styleId="5">
    <w:name w:val="heading 2"/>
    <w:basedOn w:val="1"/>
    <w:next w:val="1"/>
    <w:semiHidden/>
    <w:unhideWhenUsed/>
    <w:qFormat/>
    <w:uiPriority w:val="9"/>
    <w:pPr>
      <w:keepNext/>
      <w:keepLines/>
      <w:adjustRightInd w:val="0"/>
      <w:snapToGrid w:val="0"/>
      <w:spacing w:line="560" w:lineRule="exact"/>
      <w:ind w:firstLine="643" w:firstLineChars="200"/>
      <w:outlineLvl w:val="1"/>
    </w:pPr>
    <w:rPr>
      <w:rFonts w:ascii="等线 Light" w:hAnsi="等线 Light" w:eastAsia="楷体_GB2312"/>
      <w:b/>
      <w:bCs/>
    </w:rPr>
  </w:style>
  <w:style w:type="paragraph" w:styleId="6">
    <w:name w:val="heading 3"/>
    <w:basedOn w:val="1"/>
    <w:next w:val="1"/>
    <w:semiHidden/>
    <w:unhideWhenUsed/>
    <w:qFormat/>
    <w:uiPriority w:val="9"/>
    <w:pPr>
      <w:keepNext/>
      <w:keepLines/>
      <w:adjustRightInd w:val="0"/>
      <w:snapToGrid w:val="0"/>
      <w:spacing w:line="560" w:lineRule="exact"/>
      <w:ind w:firstLine="643" w:firstLineChars="200"/>
      <w:outlineLvl w:val="2"/>
    </w:pPr>
    <w:rPr>
      <w:b/>
      <w:bCs/>
    </w:rPr>
  </w:style>
  <w:style w:type="paragraph" w:styleId="7">
    <w:name w:val="heading 4"/>
    <w:basedOn w:val="1"/>
    <w:next w:val="1"/>
    <w:semiHidden/>
    <w:unhideWhenUsed/>
    <w:qFormat/>
    <w:uiPriority w:val="9"/>
    <w:pPr>
      <w:keepNext/>
      <w:keepLines/>
      <w:outlineLvl w:val="3"/>
    </w:pPr>
    <w:rPr>
      <w:rFonts w:ascii="等线 Light" w:hAnsi="等线 Light"/>
      <w:b/>
      <w:bCs/>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jc w:val="center"/>
    </w:pPr>
    <w:rPr>
      <w:rFonts w:eastAsia="宋体"/>
      <w:szCs w:val="24"/>
    </w:rPr>
  </w:style>
  <w:style w:type="paragraph" w:customStyle="1" w:styleId="4">
    <w:name w:val="星耀正文"/>
    <w:basedOn w:val="1"/>
    <w:qFormat/>
    <w:uiPriority w:val="3"/>
    <w:pPr>
      <w:spacing w:line="560" w:lineRule="exact"/>
      <w:ind w:firstLine="200" w:firstLineChars="200"/>
    </w:pPr>
    <w:rPr>
      <w:rFonts w:ascii="Times New Roman" w:hAnsi="Times New Roman" w:eastAsia="仿宋_GB2312" w:cs="Times New Roman"/>
      <w:kern w:val="0"/>
      <w:sz w:val="32"/>
      <w:szCs w:val="28"/>
      <w:lang w:val="zh-CN"/>
    </w:rPr>
  </w:style>
  <w:style w:type="paragraph" w:styleId="8">
    <w:name w:val="annotation text"/>
    <w:basedOn w:val="1"/>
    <w:link w:val="23"/>
    <w:semiHidden/>
    <w:unhideWhenUsed/>
    <w:qFormat/>
    <w:uiPriority w:val="99"/>
    <w:pPr>
      <w:jc w:val="left"/>
    </w:pPr>
  </w:style>
  <w:style w:type="paragraph" w:styleId="9">
    <w:name w:val="toc 3"/>
    <w:basedOn w:val="1"/>
    <w:next w:val="1"/>
    <w:semiHidden/>
    <w:unhideWhenUsed/>
    <w:qFormat/>
    <w:uiPriority w:val="39"/>
    <w:pPr>
      <w:ind w:left="840" w:leftChars="400"/>
    </w:pPr>
  </w:style>
  <w:style w:type="paragraph" w:styleId="10">
    <w:name w:val="Balloon Text"/>
    <w:basedOn w:val="1"/>
    <w:link w:val="28"/>
    <w:semiHidden/>
    <w:unhideWhenUsed/>
    <w:qFormat/>
    <w:uiPriority w:val="99"/>
    <w:rPr>
      <w:sz w:val="18"/>
      <w:szCs w:val="18"/>
    </w:rPr>
  </w:style>
  <w:style w:type="paragraph" w:styleId="11">
    <w:name w:val="footer"/>
    <w:basedOn w:val="1"/>
    <w:semiHidden/>
    <w:unhideWhenUsed/>
    <w:qFormat/>
    <w:uiPriority w:val="99"/>
    <w:pPr>
      <w:tabs>
        <w:tab w:val="center" w:pos="4153"/>
        <w:tab w:val="right" w:pos="8306"/>
      </w:tabs>
      <w:snapToGrid w:val="0"/>
      <w:jc w:val="left"/>
    </w:pPr>
    <w:rPr>
      <w:sz w:val="18"/>
      <w:szCs w:val="18"/>
    </w:rPr>
  </w:style>
  <w:style w:type="paragraph" w:styleId="12">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nhideWhenUsed/>
    <w:qFormat/>
    <w:uiPriority w:val="39"/>
    <w:pPr>
      <w:tabs>
        <w:tab w:val="right" w:leader="dot" w:pos="8947"/>
      </w:tabs>
    </w:pPr>
    <w:rPr>
      <w:rFonts w:ascii="黑体" w:hAnsi="黑体" w:eastAsia="黑体"/>
    </w:rPr>
  </w:style>
  <w:style w:type="paragraph" w:styleId="14">
    <w:name w:val="footnote text"/>
    <w:basedOn w:val="1"/>
    <w:semiHidden/>
    <w:unhideWhenUsed/>
    <w:qFormat/>
    <w:uiPriority w:val="99"/>
    <w:pPr>
      <w:widowControl/>
      <w:snapToGrid w:val="0"/>
      <w:spacing w:line="360" w:lineRule="auto"/>
      <w:jc w:val="left"/>
    </w:pPr>
    <w:rPr>
      <w:sz w:val="18"/>
      <w:szCs w:val="18"/>
    </w:rPr>
  </w:style>
  <w:style w:type="paragraph" w:styleId="15">
    <w:name w:val="toc 2"/>
    <w:basedOn w:val="1"/>
    <w:next w:val="1"/>
    <w:semiHidden/>
    <w:unhideWhenUsed/>
    <w:qFormat/>
    <w:uiPriority w:val="39"/>
    <w:pPr>
      <w:tabs>
        <w:tab w:val="right" w:leader="dot" w:pos="8947"/>
      </w:tabs>
      <w:ind w:firstLine="640"/>
    </w:pPr>
  </w:style>
  <w:style w:type="paragraph" w:styleId="16">
    <w:name w:val="annotation subject"/>
    <w:basedOn w:val="8"/>
    <w:next w:val="8"/>
    <w:link w:val="24"/>
    <w:semiHidden/>
    <w:unhideWhenUsed/>
    <w:qFormat/>
    <w:uiPriority w:val="99"/>
    <w:rPr>
      <w:b/>
      <w:bCs/>
    </w:rPr>
  </w:style>
  <w:style w:type="character" w:styleId="19">
    <w:name w:val="Hyperlink"/>
    <w:basedOn w:val="18"/>
    <w:semiHidden/>
    <w:unhideWhenUsed/>
    <w:qFormat/>
    <w:uiPriority w:val="99"/>
    <w:rPr>
      <w:color w:val="0563C1"/>
      <w:u w:val="single"/>
    </w:rPr>
  </w:style>
  <w:style w:type="character" w:styleId="20">
    <w:name w:val="annotation reference"/>
    <w:basedOn w:val="18"/>
    <w:semiHidden/>
    <w:unhideWhenUsed/>
    <w:qFormat/>
    <w:uiPriority w:val="99"/>
    <w:rPr>
      <w:sz w:val="21"/>
      <w:szCs w:val="21"/>
    </w:rPr>
  </w:style>
  <w:style w:type="character" w:styleId="21">
    <w:name w:val="footnote reference"/>
    <w:basedOn w:val="18"/>
    <w:semiHidden/>
    <w:unhideWhenUsed/>
    <w:qFormat/>
    <w:uiPriority w:val="99"/>
    <w:rPr>
      <w:rFonts w:cs="Times New Roman"/>
      <w:vertAlign w:val="superscript"/>
    </w:rPr>
  </w:style>
  <w:style w:type="paragraph" w:customStyle="1" w:styleId="22">
    <w:name w:val="TOC 标题1"/>
    <w:basedOn w:val="3"/>
    <w:next w:val="1"/>
    <w:qFormat/>
    <w:uiPriority w:val="39"/>
    <w:pPr>
      <w:widowControl/>
      <w:spacing w:before="240" w:line="259" w:lineRule="auto"/>
      <w:ind w:firstLine="0"/>
      <w:jc w:val="left"/>
      <w:outlineLvl w:val="9"/>
    </w:pPr>
    <w:rPr>
      <w:rFonts w:ascii="等线 Light" w:hAnsi="等线 Light" w:eastAsia="等线 Light"/>
      <w:bCs/>
      <w:color w:val="2F5496"/>
      <w:kern w:val="0"/>
      <w:szCs w:val="32"/>
    </w:rPr>
  </w:style>
  <w:style w:type="character" w:customStyle="1" w:styleId="23">
    <w:name w:val="批注文字 字符"/>
    <w:basedOn w:val="18"/>
    <w:link w:val="8"/>
    <w:qFormat/>
    <w:uiPriority w:val="0"/>
    <w:rPr>
      <w:rFonts w:ascii="Times New Roman" w:hAnsi="Times New Roman" w:eastAsia="仿宋_GB2312"/>
      <w:kern w:val="2"/>
      <w:sz w:val="32"/>
      <w:szCs w:val="32"/>
    </w:rPr>
  </w:style>
  <w:style w:type="character" w:customStyle="1" w:styleId="24">
    <w:name w:val="批注主题 字符"/>
    <w:basedOn w:val="23"/>
    <w:link w:val="16"/>
    <w:qFormat/>
    <w:uiPriority w:val="0"/>
    <w:rPr>
      <w:rFonts w:ascii="Times New Roman" w:hAnsi="Times New Roman" w:eastAsia="仿宋_GB2312"/>
      <w:b/>
      <w:bCs/>
      <w:kern w:val="2"/>
      <w:sz w:val="32"/>
      <w:szCs w:val="32"/>
    </w:rPr>
  </w:style>
  <w:style w:type="character" w:customStyle="1" w:styleId="25">
    <w:name w:val="批注框文本 字符"/>
    <w:basedOn w:val="18"/>
    <w:link w:val="10"/>
    <w:qFormat/>
    <w:uiPriority w:val="0"/>
    <w:rPr>
      <w:rFonts w:ascii="Times New Roman" w:hAnsi="Times New Roman" w:eastAsia="仿宋_GB2312"/>
      <w:kern w:val="2"/>
      <w:sz w:val="18"/>
      <w:szCs w:val="18"/>
    </w:rPr>
  </w:style>
  <w:style w:type="table" w:customStyle="1" w:styleId="26">
    <w:name w:val="网格型2"/>
    <w:basedOn w:val="17"/>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TOC 标题2"/>
    <w:basedOn w:val="3"/>
    <w:next w:val="1"/>
    <w:qFormat/>
    <w:uiPriority w:val="39"/>
    <w:pPr>
      <w:widowControl/>
      <w:spacing w:before="240" w:line="259" w:lineRule="auto"/>
      <w:ind w:firstLine="0"/>
      <w:jc w:val="left"/>
      <w:outlineLvl w:val="9"/>
    </w:pPr>
    <w:rPr>
      <w:rFonts w:ascii="Calibri Light" w:hAnsi="Calibri Light" w:eastAsia="宋体" w:cs="宋体"/>
      <w:color w:val="2E75B6"/>
      <w:kern w:val="0"/>
      <w:szCs w:val="32"/>
    </w:rPr>
  </w:style>
  <w:style w:type="character" w:customStyle="1" w:styleId="28">
    <w:name w:val="批注框文本 Char"/>
    <w:basedOn w:val="18"/>
    <w:link w:val="10"/>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4499</Words>
  <Characters>4634</Characters>
  <Lines>1</Lines>
  <Paragraphs>1</Paragraphs>
  <TotalTime>32</TotalTime>
  <ScaleCrop>false</ScaleCrop>
  <LinksUpToDate>false</LinksUpToDate>
  <CharactersWithSpaces>4634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2016-07-31T14:32:00Z</dcterms:created>
  <dc:creator>移动收发文</dc:creator>
  <cp:lastModifiedBy>库纳</cp:lastModifiedBy>
  <dcterms:modified xsi:type="dcterms:W3CDTF">2022-12-15T07:29:58Z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52D50A88AC2D437D81C162D45B32D8C9</vt:lpwstr>
  </property>
</Properties>
</file>