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560" w:lineRule="exact"/>
        <w:jc w:val="left"/>
        <w:textAlignment w:val="auto"/>
        <w:rPr>
          <w:rFonts w:hint="eastAsia" w:ascii="方正小标宋简体" w:hAnsi="方正小标宋简体" w:eastAsia="方正小标宋简体" w:cs="方正小标宋简体"/>
          <w:b w:val="0"/>
          <w:bCs w:val="0"/>
          <w:color w:val="000000"/>
          <w:sz w:val="44"/>
          <w:szCs w:val="44"/>
        </w:rPr>
      </w:pPr>
      <w:bookmarkStart w:id="77" w:name="_GoBack"/>
      <w:bookmarkEnd w:id="77"/>
    </w:p>
    <w:p>
      <w:pPr>
        <w:pStyle w:val="2"/>
        <w:rPr>
          <w:rFonts w:hint="eastAsia" w:ascii="方正小标宋简体" w:hAnsi="方正小标宋简体" w:eastAsia="方正小标宋简体" w:cs="方正小标宋简体"/>
          <w:b w:val="0"/>
          <w:bCs w:val="0"/>
          <w:color w:val="000000"/>
          <w:sz w:val="44"/>
          <w:szCs w:val="44"/>
        </w:rPr>
      </w:pPr>
    </w:p>
    <w:p>
      <w:pPr>
        <w:pStyle w:val="2"/>
        <w:rPr>
          <w:rFonts w:hint="eastAsia" w:ascii="方正小标宋简体" w:hAnsi="方正小标宋简体" w:eastAsia="方正小标宋简体" w:cs="方正小标宋简体"/>
          <w:b w:val="0"/>
          <w:bCs w:val="0"/>
          <w:color w:val="000000"/>
          <w:sz w:val="44"/>
          <w:szCs w:val="44"/>
        </w:rPr>
      </w:pPr>
    </w:p>
    <w:p>
      <w:pPr>
        <w:pageBreakBefore w:val="0"/>
        <w:kinsoku/>
        <w:wordWrap/>
        <w:topLinePunct w:val="0"/>
        <w:bidi w:val="0"/>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2019—2021年度深圳市龙岗区全民健身</w:t>
      </w:r>
    </w:p>
    <w:p>
      <w:pPr>
        <w:pageBreakBefore w:val="0"/>
        <w:kinsoku/>
        <w:wordWrap/>
        <w:topLinePunct w:val="0"/>
        <w:bidi w:val="0"/>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（体彩）项目绩效评价报告</w:t>
      </w:r>
    </w:p>
    <w:p>
      <w:pPr>
        <w:pageBreakBefore w:val="0"/>
        <w:kinsoku/>
        <w:wordWrap/>
        <w:topLinePunct w:val="0"/>
        <w:bidi w:val="0"/>
        <w:spacing w:line="560" w:lineRule="exact"/>
        <w:textAlignment w:val="auto"/>
        <w:rPr>
          <w:rFonts w:ascii="Times New Roman" w:hAnsi="Times New Roman"/>
          <w:b/>
          <w:bCs/>
          <w:color w:val="000000"/>
          <w:lang w:val="zh-CN"/>
        </w:rPr>
      </w:pPr>
    </w:p>
    <w:p>
      <w:pPr>
        <w:pStyle w:val="5"/>
        <w:pageBreakBefore w:val="0"/>
        <w:tabs>
          <w:tab w:val="left" w:pos="0"/>
        </w:tabs>
        <w:kinsoku/>
        <w:wordWrap/>
        <w:topLinePunct w:val="0"/>
        <w:bidi w:val="0"/>
        <w:spacing w:before="0" w:after="0" w:line="560" w:lineRule="exact"/>
        <w:ind w:firstLine="640" w:firstLineChars="200"/>
        <w:textAlignment w:val="auto"/>
        <w:rPr>
          <w:rFonts w:ascii="Times New Roman" w:hAnsi="Times New Roman" w:eastAsia="仿宋_GB2312"/>
          <w:color w:val="000000"/>
          <w:kern w:val="0"/>
          <w:sz w:val="32"/>
          <w:szCs w:val="32"/>
        </w:rPr>
      </w:pPr>
      <w:bookmarkStart w:id="0" w:name="_Toc241582994"/>
      <w:bookmarkStart w:id="1" w:name="_Toc852693268"/>
      <w:bookmarkStart w:id="2" w:name="_Toc106659146"/>
      <w:bookmarkStart w:id="3" w:name="_Toc190109960"/>
      <w:bookmarkStart w:id="4" w:name="_Toc546390974"/>
      <w:bookmarkStart w:id="5" w:name="_Toc61329876"/>
      <w:bookmarkStart w:id="6" w:name="_Toc1415264109"/>
      <w:bookmarkStart w:id="7" w:name="_Toc119068851"/>
      <w:bookmarkStart w:id="8" w:name="_Toc439772204"/>
      <w:r>
        <w:rPr>
          <w:rFonts w:ascii="Times New Roman" w:hAnsi="Times New Roman"/>
          <w:b w:val="0"/>
          <w:bCs w:val="0"/>
        </w:rPr>
        <w:t>一、基本情况</w:t>
      </w:r>
      <w:bookmarkEnd w:id="0"/>
      <w:bookmarkEnd w:id="1"/>
      <w:bookmarkEnd w:id="2"/>
      <w:bookmarkEnd w:id="3"/>
      <w:bookmarkEnd w:id="4"/>
      <w:bookmarkEnd w:id="5"/>
      <w:bookmarkEnd w:id="6"/>
      <w:bookmarkEnd w:id="7"/>
      <w:bookmarkEnd w:id="8"/>
    </w:p>
    <w:p>
      <w:pPr>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本项目由龙岗区文化广电旅游体育局进行预算编报，项目资金来自体育彩票公益金，主要用于全区范围内全民健身工作，促进龙岗区全民健身事业发展，提高市民身体素质和健康水平。</w:t>
      </w:r>
    </w:p>
    <w:p>
      <w:pPr>
        <w:pageBreakBefore w:val="0"/>
        <w:kinsoku/>
        <w:wordWrap/>
        <w:topLinePunct w:val="0"/>
        <w:bidi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本项目2019—2021年度年初预算数为9,295.39万元，调整后预算数为8,328.46万元，实际支出数为6,958.10万元，执行率为</w:t>
      </w:r>
      <w:r>
        <w:rPr>
          <w:rFonts w:hint="eastAsia" w:ascii="仿宋_GB2312" w:hAnsi="仿宋_GB2312" w:eastAsia="仿宋_GB2312" w:cs="仿宋_GB2312"/>
          <w:color w:val="000000"/>
          <w:kern w:val="0"/>
          <w:sz w:val="32"/>
          <w:szCs w:val="32"/>
          <w:lang w:val="en-US" w:eastAsia="zh-CN"/>
        </w:rPr>
        <w:t>83.55%。经综合评价，本项目绩效评价得分为82.84分，等级为“良”。</w:t>
      </w:r>
    </w:p>
    <w:p>
      <w:pPr>
        <w:keepNext/>
        <w:keepLines/>
        <w:pageBreakBefore w:val="0"/>
        <w:tabs>
          <w:tab w:val="left" w:pos="0"/>
        </w:tabs>
        <w:kinsoku/>
        <w:wordWrap/>
        <w:topLinePunct w:val="0"/>
        <w:bidi w:val="0"/>
        <w:spacing w:line="560" w:lineRule="exact"/>
        <w:ind w:firstLine="640" w:firstLineChars="200"/>
        <w:textAlignment w:val="auto"/>
        <w:outlineLvl w:val="1"/>
        <w:rPr>
          <w:rFonts w:ascii="Times New Roman" w:hAnsi="Times New Roman" w:eastAsia="黑体"/>
          <w:b/>
          <w:bCs/>
          <w:sz w:val="32"/>
          <w:szCs w:val="32"/>
        </w:rPr>
      </w:pPr>
      <w:bookmarkStart w:id="9" w:name="_Toc119068863"/>
      <w:r>
        <w:rPr>
          <w:rFonts w:hint="eastAsia" w:ascii="Times New Roman" w:hAnsi="Times New Roman" w:eastAsia="黑体"/>
          <w:sz w:val="32"/>
          <w:szCs w:val="32"/>
          <w:lang w:eastAsia="zh-CN"/>
        </w:rPr>
        <w:t>二</w:t>
      </w:r>
      <w:r>
        <w:rPr>
          <w:rFonts w:ascii="Times New Roman" w:hAnsi="Times New Roman" w:eastAsia="黑体"/>
          <w:sz w:val="32"/>
          <w:szCs w:val="32"/>
        </w:rPr>
        <w:t>、取得的主要成效</w:t>
      </w:r>
      <w:bookmarkEnd w:id="9"/>
    </w:p>
    <w:p>
      <w:pPr>
        <w:keepNext/>
        <w:keepLines/>
        <w:pageBreakBefore w:val="0"/>
        <w:tabs>
          <w:tab w:val="left" w:pos="0"/>
          <w:tab w:val="left" w:pos="840"/>
        </w:tabs>
        <w:kinsoku/>
        <w:wordWrap/>
        <w:topLinePunct w:val="0"/>
        <w:bidi w:val="0"/>
        <w:spacing w:line="560" w:lineRule="exact"/>
        <w:ind w:firstLine="640" w:firstLineChars="200"/>
        <w:textAlignment w:val="auto"/>
        <w:outlineLvl w:val="2"/>
        <w:rPr>
          <w:rFonts w:ascii="Times New Roman" w:hAnsi="Times New Roman" w:eastAsia="楷体_GB2312"/>
          <w:sz w:val="32"/>
          <w:szCs w:val="32"/>
        </w:rPr>
      </w:pPr>
      <w:bookmarkStart w:id="10" w:name="_Toc119068864"/>
      <w:r>
        <w:rPr>
          <w:rFonts w:ascii="Times New Roman" w:hAnsi="Times New Roman" w:eastAsia="楷体_GB2312"/>
          <w:sz w:val="32"/>
          <w:szCs w:val="32"/>
        </w:rPr>
        <w:t>（一）以需求为导向，推动全民健身活动开展，积极回应</w:t>
      </w:r>
      <w:r>
        <w:rPr>
          <w:rFonts w:hint="eastAsia" w:ascii="Times New Roman" w:hAnsi="Times New Roman" w:eastAsia="楷体_GB2312"/>
          <w:sz w:val="32"/>
          <w:szCs w:val="32"/>
        </w:rPr>
        <w:t>市民</w:t>
      </w:r>
      <w:r>
        <w:rPr>
          <w:rFonts w:ascii="Times New Roman" w:hAnsi="Times New Roman" w:eastAsia="楷体_GB2312"/>
          <w:sz w:val="32"/>
          <w:szCs w:val="32"/>
        </w:rPr>
        <w:t>需求</w:t>
      </w:r>
      <w:bookmarkEnd w:id="10"/>
    </w:p>
    <w:p>
      <w:pPr>
        <w:pageBreakBefore w:val="0"/>
        <w:kinsoku/>
        <w:wordWrap/>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重点保障区域内群众体育项目开展。2019</w:t>
      </w:r>
      <w:r>
        <w:rPr>
          <w:rFonts w:hint="default"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2021年期间，全民健身（体彩）项目共计资助群众体育、青少年</w:t>
      </w:r>
      <w:r>
        <w:rPr>
          <w:rFonts w:hint="eastAsia" w:ascii="仿宋_GB2312" w:hAnsi="仿宋_GB2312" w:eastAsia="仿宋_GB2312" w:cs="仿宋_GB2312"/>
          <w:sz w:val="32"/>
          <w:szCs w:val="32"/>
        </w:rPr>
        <w:t>体育、竞技体育等三类项目254个，共计支出6,728.74万元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从三类项目的支出结构来看，在满足《</w:t>
      </w:r>
      <w:r>
        <w:rPr>
          <w:rFonts w:ascii="Times New Roman" w:hAnsi="Times New Roman" w:eastAsia="仿宋_GB2312"/>
          <w:color w:val="000000"/>
          <w:sz w:val="32"/>
          <w:szCs w:val="32"/>
        </w:rPr>
        <w:t>龙岗区体育彩票公益金使用管理暂行办法</w:t>
      </w:r>
      <w:r>
        <w:rPr>
          <w:rFonts w:hint="eastAsia" w:ascii="仿宋_GB2312" w:hAnsi="仿宋_GB2312" w:eastAsia="仿宋_GB2312" w:cs="仿宋_GB2312"/>
          <w:sz w:val="32"/>
          <w:szCs w:val="32"/>
        </w:rPr>
        <w:t>》规定投入比例的基础上，资助资金向群众体育项目的倾斜力度进一步加大，区域内群众体育项目得到重点保障。</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积极回应民众需求并针对性加大投入。根据调查问卷结果显示，受访者中表</w:t>
      </w:r>
      <w:r>
        <w:rPr>
          <w:rFonts w:hint="eastAsia" w:ascii="仿宋_GB2312" w:hAnsi="仿宋_GB2312" w:eastAsia="仿宋_GB2312" w:cs="仿宋_GB2312"/>
          <w:sz w:val="32"/>
          <w:szCs w:val="32"/>
        </w:rPr>
        <w:t>示需求更多“球类、健身操舞、综合性运动嘉年华类”项目的人数占比达到73.10%。从2019</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2021年度各类项目内容结构分析来看，区域民众的上述需求已经得到积极回应且各年度在“球类、健身操舞、综合性运动嘉年华类”体育项目的投入逐年加大。</w:t>
      </w:r>
    </w:p>
    <w:p>
      <w:pPr>
        <w:keepNext/>
        <w:keepLines/>
        <w:pageBreakBefore w:val="0"/>
        <w:tabs>
          <w:tab w:val="left" w:pos="0"/>
          <w:tab w:val="left" w:pos="840"/>
        </w:tabs>
        <w:kinsoku/>
        <w:wordWrap/>
        <w:topLinePunct w:val="0"/>
        <w:bidi w:val="0"/>
        <w:spacing w:line="560" w:lineRule="exact"/>
        <w:ind w:firstLine="640" w:firstLineChars="200"/>
        <w:textAlignment w:val="auto"/>
        <w:outlineLvl w:val="2"/>
        <w:rPr>
          <w:rFonts w:ascii="Times New Roman" w:hAnsi="Times New Roman" w:eastAsia="楷体_GB2312"/>
          <w:sz w:val="32"/>
          <w:szCs w:val="32"/>
        </w:rPr>
      </w:pPr>
      <w:bookmarkStart w:id="11" w:name="_Toc119068865"/>
      <w:r>
        <w:rPr>
          <w:rFonts w:ascii="Times New Roman" w:hAnsi="Times New Roman" w:eastAsia="楷体_GB2312"/>
          <w:sz w:val="32"/>
          <w:szCs w:val="32"/>
        </w:rPr>
        <w:t>（二）以普惠为主题，多措并举，全方位多渠道满足民众需求</w:t>
      </w:r>
      <w:bookmarkEnd w:id="11"/>
    </w:p>
    <w:p>
      <w:pPr>
        <w:pageBreakBefore w:val="0"/>
        <w:kinsoku/>
        <w:wordWrap/>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有序开展线下项目。例如，“你点我送”体育公益培训项目。2019年以来，共开展“</w:t>
      </w:r>
      <w:r>
        <w:rPr>
          <w:rFonts w:hint="eastAsia" w:ascii="仿宋_GB2312" w:hAnsi="仿宋_GB2312" w:eastAsia="仿宋_GB2312" w:cs="仿宋_GB2312"/>
          <w:sz w:val="32"/>
          <w:szCs w:val="32"/>
        </w:rPr>
        <w:t>你点我送”体育公益培训8万多课时，惠及群众超过800多万人次。在疫情期间区文化广电旅游体育局仍然坚持为企业送去健美操、瑜伽、羽毛球、乒乓球等公益培训课程，获得企业的一致好评。调查问卷结果显示，95%的被调查者对公益培训的指导教练、课程内容、课程频率等表示满意。</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创新举办线上项目。例如，龙岗区武术公开赛项目。该项目为体彩公益金持续资助项目，2</w:t>
      </w:r>
      <w:r>
        <w:rPr>
          <w:rFonts w:hint="eastAsia" w:ascii="仿宋_GB2312" w:hAnsi="仿宋_GB2312" w:eastAsia="仿宋_GB2312" w:cs="仿宋_GB2312"/>
          <w:sz w:val="32"/>
          <w:szCs w:val="32"/>
        </w:rPr>
        <w:t>020年受到疫情影响转为开展线上赛事，吸引了8个类别项目共275个视频共同参与角逐，线上观赛群众达到60621人次。又如，“奔跑吧少年”儿童青少年主题健身活动之龙岗区亲子家庭线上计步打卡活动、“留深过年 行运龙岗”线上计步打卡活动等项目，均为2021年原创性新项目，旨在为因疫情无法参与线下群众体育活动的民众提供线上同步参与的新渠道。</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推动建设公共体育场馆。2020年，体彩公益金资助建设龙岗区体育中心足球</w:t>
      </w:r>
      <w:r>
        <w:rPr>
          <w:rFonts w:hint="eastAsia" w:ascii="仿宋_GB2312" w:hAnsi="仿宋_GB2312" w:eastAsia="仿宋_GB2312" w:cs="仿宋_GB2312"/>
          <w:sz w:val="32"/>
          <w:szCs w:val="32"/>
        </w:rPr>
        <w:t>场、龙岗区上木古足球场、龙岗区红花岭低碳生态公园足球场等3个足球场建设工程</w:t>
      </w:r>
      <w:r>
        <w:rPr>
          <w:rFonts w:hint="eastAsia" w:ascii="仿宋_GB2312" w:hAnsi="仿宋_GB2312" w:eastAsia="仿宋_GB2312" w:cs="仿宋_GB2312"/>
          <w:color w:val="000000"/>
          <w:sz w:val="32"/>
          <w:szCs w:val="32"/>
        </w:rPr>
        <w:t>，2021年交付</w:t>
      </w:r>
      <w:r>
        <w:rPr>
          <w:rFonts w:hint="eastAsia" w:ascii="仿宋_GB2312" w:hAnsi="仿宋_GB2312" w:eastAsia="仿宋_GB2312" w:cs="仿宋_GB2312"/>
          <w:sz w:val="32"/>
          <w:szCs w:val="32"/>
        </w:rPr>
        <w:t>使用后向社会提供每天约6小时的公益开放时间，公益开放时间内不收取场租费用，充分发挥公共体育场馆惠民服务功能，增强公益性。此外，平湖街道体育中心网球场、龙岗区体育中心足球场、龙岗区上木古足球场、龙岗区红花岭低碳生态公园足球场等一批由体彩公益金资助建设的公共体育场馆，均已配备“一键预约”功能，民众可以通过微信公众号或二维码实现场地查询、预约等功能，提升了公共体育场馆服务水平。</w:t>
      </w:r>
      <w:bookmarkStart w:id="12" w:name="_Toc119068866"/>
    </w:p>
    <w:p>
      <w:pPr>
        <w:pageBreakBefore w:val="0"/>
        <w:kinsoku/>
        <w:wordWrap/>
        <w:topLinePunct w:val="0"/>
        <w:bidi w:val="0"/>
        <w:spacing w:line="560" w:lineRule="exact"/>
        <w:ind w:firstLine="640" w:firstLineChars="200"/>
        <w:textAlignment w:val="auto"/>
        <w:rPr>
          <w:rFonts w:ascii="Times New Roman" w:hAnsi="Times New Roman" w:eastAsia="楷体_GB2312"/>
          <w:sz w:val="32"/>
          <w:szCs w:val="32"/>
        </w:rPr>
      </w:pPr>
      <w:r>
        <w:rPr>
          <w:rFonts w:ascii="Times New Roman" w:hAnsi="Times New Roman" w:eastAsia="楷体_GB2312"/>
          <w:sz w:val="32"/>
          <w:szCs w:val="32"/>
        </w:rPr>
        <w:t>（三）以“体教融合”发展为目标，强化阵地建设，加强青少年后备人才培养</w:t>
      </w:r>
      <w:bookmarkEnd w:id="12"/>
    </w:p>
    <w:p>
      <w:pPr>
        <w:pageBreakBefore w:val="0"/>
        <w:kinsoku/>
        <w:wordWrap/>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联合学校组建体校训练基地。2019-2021年间，龙岗区持续为区体校重点项目基地、优秀项目基地、潜力优势项目提供定额资助保障，资助龙</w:t>
      </w:r>
      <w:r>
        <w:rPr>
          <w:rFonts w:hint="eastAsia" w:ascii="仿宋_GB2312" w:hAnsi="仿宋_GB2312" w:eastAsia="仿宋_GB2312" w:cs="仿宋_GB2312"/>
          <w:sz w:val="32"/>
          <w:szCs w:val="32"/>
        </w:rPr>
        <w:t>岗区平安里学校、龙岗街道同乐学校、布吉街道可园学校、龙岗区布吉中学等45所学校组建体校训练基地，涵盖足球、篮球、网球、羽毛球、乒乓球等61个体育项目，保障青少年在校合理科学开展体育训练。</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组织开展青少年体育竞赛。龙岗区持续举办“体彩杯”青少年锦标</w:t>
      </w:r>
      <w:r>
        <w:rPr>
          <w:rFonts w:hint="eastAsia" w:ascii="仿宋_GB2312" w:hAnsi="仿宋_GB2312" w:eastAsia="仿宋_GB2312" w:cs="仿宋_GB2312"/>
          <w:sz w:val="32"/>
          <w:szCs w:val="32"/>
        </w:rPr>
        <w:t>赛系列赛事（由区文化广电旅游体育局主办），包括游泳、网球、田径、篮球、击剑、定向越野、国际象棋、攀岩等10个比赛项目，已经成为龙岗区青少年体育竞赛的标志性赛事，吸引众多青少年运动员参加。“体彩杯”青少年锦标赛系列赛事的开展，为青少年运动员搭建了良好的竞技和交流平台，普及体育运动，发掘和储备优秀人才。</w:t>
      </w:r>
    </w:p>
    <w:p>
      <w:pPr>
        <w:keepNext/>
        <w:keepLines/>
        <w:pageBreakBefore w:val="0"/>
        <w:tabs>
          <w:tab w:val="left" w:pos="0"/>
          <w:tab w:val="left" w:pos="840"/>
        </w:tabs>
        <w:kinsoku/>
        <w:wordWrap/>
        <w:topLinePunct w:val="0"/>
        <w:bidi w:val="0"/>
        <w:spacing w:line="560" w:lineRule="exact"/>
        <w:ind w:firstLine="640" w:firstLineChars="200"/>
        <w:textAlignment w:val="auto"/>
        <w:outlineLvl w:val="2"/>
        <w:rPr>
          <w:rFonts w:ascii="Times New Roman" w:hAnsi="Times New Roman" w:eastAsia="楷体_GB2312"/>
          <w:sz w:val="32"/>
          <w:szCs w:val="32"/>
        </w:rPr>
      </w:pPr>
      <w:bookmarkStart w:id="13" w:name="_Toc119068867"/>
      <w:r>
        <w:rPr>
          <w:rFonts w:ascii="Times New Roman" w:hAnsi="Times New Roman" w:eastAsia="楷体_GB2312"/>
          <w:sz w:val="32"/>
          <w:szCs w:val="32"/>
        </w:rPr>
        <w:t>（四）以高端为引领，打造赛事产业品牌，推进竞技体育发展</w:t>
      </w:r>
      <w:bookmarkEnd w:id="13"/>
      <w:r>
        <w:rPr>
          <w:rFonts w:ascii="Times New Roman" w:hAnsi="Times New Roman" w:eastAsia="楷体_GB2312"/>
          <w:sz w:val="32"/>
          <w:szCs w:val="32"/>
        </w:rPr>
        <w:t xml:space="preserve"> </w:t>
      </w:r>
    </w:p>
    <w:p>
      <w:pPr>
        <w:pageBreakBefore w:val="0"/>
        <w:kinsoku/>
        <w:wordWrap/>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支持备战和参加市及省综合性运动会。2019-20</w:t>
      </w:r>
      <w:r>
        <w:rPr>
          <w:rFonts w:hint="eastAsia" w:ascii="仿宋_GB2312" w:hAnsi="仿宋_GB2312" w:eastAsia="仿宋_GB2312" w:cs="仿宋_GB2312"/>
          <w:sz w:val="32"/>
          <w:szCs w:val="32"/>
        </w:rPr>
        <w:t>21年间，体彩公益金共资助体育类社会团体备战和参加市及省综合性运动会13场，举办或承办各类体育赛事7场。其中，2021年龙岗区组队参加深圳市第十届运动会群众体育组足球、乒乓球、象棋、自行车、健身气功等11个体育项目的竞技，并</w:t>
      </w:r>
      <w:r>
        <w:rPr>
          <w:rFonts w:hint="eastAsia" w:ascii="仿宋_GB2312" w:hAnsi="仿宋_GB2312" w:eastAsia="仿宋_GB2312" w:cs="仿宋_GB2312"/>
          <w:color w:val="000000"/>
          <w:sz w:val="32"/>
          <w:szCs w:val="32"/>
        </w:rPr>
        <w:t>在市第十届运动会获得金牌167枚，竞技体育成绩再创辉煌。</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b w:val="0"/>
          <w:bCs w:val="0"/>
          <w:color w:val="000000"/>
          <w:sz w:val="32"/>
          <w:szCs w:val="32"/>
        </w:rPr>
        <w:t>推进</w:t>
      </w:r>
      <w:r>
        <w:rPr>
          <w:rFonts w:hint="eastAsia" w:ascii="仿宋_GB2312" w:hAnsi="仿宋_GB2312" w:eastAsia="仿宋_GB2312" w:cs="仿宋_GB2312"/>
          <w:b w:val="0"/>
          <w:bCs w:val="0"/>
          <w:sz w:val="32"/>
          <w:szCs w:val="32"/>
        </w:rPr>
        <w:t>各类体育赛事落户龙岗。龙岗区积极筹办广东省男子篮球联赛</w:t>
      </w:r>
      <w:r>
        <w:rPr>
          <w:rFonts w:hint="eastAsia" w:ascii="仿宋_GB2312" w:hAnsi="仿宋_GB2312" w:eastAsia="仿宋_GB2312" w:cs="仿宋_GB2312"/>
          <w:sz w:val="32"/>
          <w:szCs w:val="32"/>
        </w:rPr>
        <w:t>及主场赛事、广东省高等院校健身气功比赛、深圳市足球协会城市足球甲级联赛、希望马拉松（深圳行）等高端体</w:t>
      </w:r>
      <w:bookmarkStart w:id="14" w:name="OLE_LINK15"/>
      <w:r>
        <w:rPr>
          <w:rFonts w:hint="eastAsia" w:ascii="仿宋_GB2312" w:hAnsi="仿宋_GB2312" w:eastAsia="仿宋_GB2312" w:cs="仿宋_GB2312"/>
          <w:sz w:val="32"/>
          <w:szCs w:val="32"/>
        </w:rPr>
        <w:t>育赛事，打造体育产业</w:t>
      </w:r>
      <w:bookmarkEnd w:id="14"/>
      <w:r>
        <w:rPr>
          <w:rFonts w:hint="eastAsia" w:ascii="仿宋_GB2312" w:hAnsi="仿宋_GB2312" w:eastAsia="仿宋_GB2312" w:cs="仿宋_GB2312"/>
          <w:sz w:val="32"/>
          <w:szCs w:val="32"/>
        </w:rPr>
        <w:t>发展品牌，展现龙岗区竞技体育精神风貌，推进竞技体育产业发展。</w:t>
      </w:r>
    </w:p>
    <w:p>
      <w:pPr>
        <w:keepNext/>
        <w:keepLines/>
        <w:pageBreakBefore w:val="0"/>
        <w:tabs>
          <w:tab w:val="left" w:pos="0"/>
          <w:tab w:val="left" w:pos="840"/>
        </w:tabs>
        <w:kinsoku/>
        <w:wordWrap/>
        <w:topLinePunct w:val="0"/>
        <w:bidi w:val="0"/>
        <w:spacing w:line="560" w:lineRule="exact"/>
        <w:ind w:firstLine="640" w:firstLineChars="200"/>
        <w:textAlignment w:val="auto"/>
        <w:outlineLvl w:val="2"/>
        <w:rPr>
          <w:rFonts w:hint="eastAsia" w:ascii="Times New Roman" w:hAnsi="Times New Roman" w:eastAsia="楷体_GB2312"/>
          <w:sz w:val="32"/>
          <w:szCs w:val="32"/>
        </w:rPr>
      </w:pPr>
      <w:bookmarkStart w:id="15" w:name="_Toc119068868"/>
      <w:r>
        <w:rPr>
          <w:rFonts w:hint="eastAsia" w:ascii="Times New Roman" w:hAnsi="Times New Roman" w:eastAsia="楷体_GB2312"/>
          <w:sz w:val="32"/>
          <w:szCs w:val="32"/>
        </w:rPr>
        <w:t>（五）以提高保障水平为宗旨，提升全民健身指导服务能力，提高民众科学健身水平</w:t>
      </w:r>
      <w:bookmarkEnd w:id="15"/>
    </w:p>
    <w:p>
      <w:pPr>
        <w:pageBreakBefore w:val="0"/>
        <w:kinsoku/>
        <w:wordWrap/>
        <w:topLinePunct w:val="0"/>
        <w:bidi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加强全民健身服务点建设。龙岗区现有60个健身服务点，每周固定开展体育健</w:t>
      </w:r>
      <w:r>
        <w:rPr>
          <w:rFonts w:hint="eastAsia" w:ascii="仿宋_GB2312" w:hAnsi="仿宋_GB2312" w:eastAsia="仿宋_GB2312" w:cs="仿宋_GB2312"/>
          <w:sz w:val="32"/>
          <w:szCs w:val="32"/>
        </w:rPr>
        <w:t>身教学和活动，为民众提供科学的健身技能指导。在2019-2021年度连续三年获得深圳市社会体育指导员技能交流展示大赛最佳组织奖。问卷调查结果显示，龙岗区民众对健身服务点工作开展情况的满意度达到95%。</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优化社会体育指导员队伍管理。龙岗区着眼提升社会体育指导员服务能力和专业化水平，深入开展以团队管理、岗位培训、专项技能</w:t>
      </w:r>
      <w:r>
        <w:rPr>
          <w:rFonts w:hint="eastAsia" w:ascii="仿宋_GB2312" w:hAnsi="仿宋_GB2312" w:eastAsia="仿宋_GB2312" w:cs="仿宋_GB2312"/>
          <w:sz w:val="32"/>
          <w:szCs w:val="32"/>
        </w:rPr>
        <w:t>培训等为主要课题的集训、轮训。</w:t>
      </w:r>
      <w:r>
        <w:rPr>
          <w:rFonts w:hint="eastAsia" w:ascii="仿宋_GB2312" w:hAnsi="仿宋_GB2312" w:eastAsia="仿宋_GB2312" w:cs="仿宋_GB2312"/>
          <w:color w:val="000000"/>
          <w:sz w:val="32"/>
          <w:szCs w:val="32"/>
        </w:rPr>
        <w:t>根据问卷调查结果显示，龙岗区群众对社会体育指导员的专业态度、工作态度满意度均为95%以上。</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优化体育义工队伍建设。龙岗区积极鼓励体育义工队伍开展全民健身活动和大型赛事服务保障工作，</w:t>
      </w:r>
      <w:r>
        <w:rPr>
          <w:rFonts w:hint="eastAsia" w:ascii="仿宋_GB2312" w:hAnsi="仿宋_GB2312" w:eastAsia="仿宋_GB2312" w:cs="仿宋_GB2312"/>
          <w:sz w:val="32"/>
          <w:szCs w:val="32"/>
        </w:rPr>
        <w:t>加强对义工队伍的培训，开展以龙岗区健身路径科学使用公益指导培训、户外公共体育设施巡查培训、赛场急救队培训等6项内容为重点的体育义工系列培训，提升体育义工队伍整体素质和服务水平。</w:t>
      </w:r>
      <w:r>
        <w:rPr>
          <w:rFonts w:hint="eastAsia" w:ascii="仿宋_GB2312" w:hAnsi="仿宋_GB2312" w:eastAsia="仿宋_GB2312" w:cs="仿宋_GB2312"/>
          <w:b/>
          <w:bCs/>
          <w:sz w:val="32"/>
          <w:szCs w:val="32"/>
        </w:rPr>
        <w:t>四是</w:t>
      </w:r>
      <w:r>
        <w:rPr>
          <w:rFonts w:hint="eastAsia" w:ascii="仿宋_GB2312" w:hAnsi="仿宋_GB2312" w:eastAsia="仿宋_GB2312" w:cs="仿宋_GB2312"/>
          <w:b w:val="0"/>
          <w:bCs w:val="0"/>
          <w:sz w:val="32"/>
          <w:szCs w:val="32"/>
        </w:rPr>
        <w:t>合理布局和引导体育社会组织健康发展。区文化广电旅游体育局合理控制全区体育社会组织的数量和类别，注重全区平衡协调，引导</w:t>
      </w:r>
      <w:r>
        <w:rPr>
          <w:rFonts w:hint="eastAsia" w:ascii="仿宋_GB2312" w:hAnsi="仿宋_GB2312" w:eastAsia="仿宋_GB2312" w:cs="仿宋_GB2312"/>
          <w:sz w:val="32"/>
          <w:szCs w:val="32"/>
        </w:rPr>
        <w:t>资源良性整合，类别上兼顾传统与时尚、城区与园区、中青与老少做到与全民健身事业发展需求相匹配。目前全区已审批设立体育类社会组织73个，推动全民健身事业发展。</w:t>
      </w:r>
    </w:p>
    <w:p>
      <w:pPr>
        <w:keepNext/>
        <w:keepLines/>
        <w:pageBreakBefore w:val="0"/>
        <w:tabs>
          <w:tab w:val="left" w:pos="0"/>
        </w:tabs>
        <w:kinsoku/>
        <w:wordWrap/>
        <w:topLinePunct w:val="0"/>
        <w:bidi w:val="0"/>
        <w:spacing w:line="560" w:lineRule="exact"/>
        <w:ind w:firstLine="640" w:firstLineChars="200"/>
        <w:textAlignment w:val="auto"/>
        <w:outlineLvl w:val="1"/>
        <w:rPr>
          <w:rFonts w:ascii="Times New Roman" w:hAnsi="Times New Roman" w:eastAsia="黑体"/>
        </w:rPr>
      </w:pPr>
      <w:bookmarkStart w:id="16" w:name="_Toc992013353"/>
      <w:bookmarkStart w:id="17" w:name="_Toc844670252"/>
      <w:bookmarkStart w:id="18" w:name="_Toc1875308376"/>
      <w:bookmarkStart w:id="19" w:name="_Toc119068869"/>
      <w:bookmarkStart w:id="20" w:name="_Toc1874052693"/>
      <w:bookmarkStart w:id="21" w:name="_Toc1198415795"/>
      <w:bookmarkStart w:id="22" w:name="_Toc106659163"/>
      <w:bookmarkStart w:id="23" w:name="_Toc1730344788"/>
      <w:bookmarkStart w:id="24" w:name="_Toc1393793459"/>
      <w:r>
        <w:rPr>
          <w:rFonts w:hint="eastAsia" w:ascii="Times New Roman" w:hAnsi="Times New Roman" w:eastAsia="黑体"/>
          <w:sz w:val="32"/>
          <w:szCs w:val="32"/>
          <w:lang w:eastAsia="zh-CN"/>
        </w:rPr>
        <w:t>三</w:t>
      </w:r>
      <w:r>
        <w:rPr>
          <w:rFonts w:ascii="Times New Roman" w:hAnsi="Times New Roman" w:eastAsia="黑体"/>
          <w:sz w:val="32"/>
          <w:szCs w:val="32"/>
        </w:rPr>
        <w:t>、存在的主要问题</w:t>
      </w:r>
      <w:bookmarkEnd w:id="16"/>
      <w:bookmarkEnd w:id="17"/>
      <w:bookmarkEnd w:id="18"/>
      <w:bookmarkEnd w:id="19"/>
      <w:bookmarkEnd w:id="20"/>
      <w:bookmarkEnd w:id="21"/>
      <w:bookmarkEnd w:id="22"/>
      <w:bookmarkEnd w:id="23"/>
      <w:bookmarkEnd w:id="24"/>
    </w:p>
    <w:p>
      <w:pPr>
        <w:pStyle w:val="6"/>
        <w:pageBreakBefore w:val="0"/>
        <w:tabs>
          <w:tab w:val="left" w:pos="210"/>
        </w:tabs>
        <w:kinsoku/>
        <w:wordWrap/>
        <w:overflowPunct w:val="0"/>
        <w:topLinePunct w:val="0"/>
        <w:bidi w:val="0"/>
        <w:spacing w:before="0" w:after="0" w:line="560" w:lineRule="exact"/>
        <w:ind w:firstLine="640" w:firstLineChars="200"/>
        <w:textAlignment w:val="auto"/>
        <w:rPr>
          <w:rFonts w:ascii="Times New Roman" w:hAnsi="Times New Roman" w:eastAsia="楷体_GB2312"/>
          <w:b w:val="0"/>
          <w:bCs w:val="0"/>
        </w:rPr>
      </w:pPr>
      <w:bookmarkStart w:id="25" w:name="_Toc119068870"/>
      <w:r>
        <w:rPr>
          <w:rFonts w:ascii="Times New Roman" w:hAnsi="Times New Roman" w:eastAsia="楷体_GB2312"/>
          <w:b w:val="0"/>
          <w:bCs w:val="0"/>
        </w:rPr>
        <w:t>（一）预算编制不够</w:t>
      </w:r>
      <w:r>
        <w:rPr>
          <w:rFonts w:hint="eastAsia" w:ascii="Times New Roman" w:hAnsi="Times New Roman" w:eastAsia="楷体_GB2312"/>
          <w:b w:val="0"/>
          <w:bCs w:val="0"/>
        </w:rPr>
        <w:t>精准</w:t>
      </w:r>
      <w:r>
        <w:rPr>
          <w:rFonts w:ascii="Times New Roman" w:hAnsi="Times New Roman" w:eastAsia="楷体_GB2312"/>
          <w:b w:val="0"/>
          <w:bCs w:val="0"/>
        </w:rPr>
        <w:t>，预算编制科学化有待进一步提高</w:t>
      </w:r>
      <w:bookmarkEnd w:id="25"/>
    </w:p>
    <w:p>
      <w:pPr>
        <w:pageBreakBefore w:val="0"/>
        <w:widowControl/>
        <w:kinsoku/>
        <w:wordWrap/>
        <w:overflowPunct w:val="0"/>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b w:val="0"/>
          <w:bCs w:val="0"/>
          <w:color w:val="000000"/>
          <w:sz w:val="32"/>
          <w:szCs w:val="32"/>
        </w:rPr>
        <w:t>部分项目预算编制缺乏测算标准和测算过程</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个别项目预算资金超出项目所需规模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个别项目预算编制合理性不足</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一方面</w:t>
      </w:r>
      <w:r>
        <w:rPr>
          <w:rFonts w:hint="eastAsia" w:ascii="仿宋_GB2312" w:hAnsi="仿宋_GB2312" w:eastAsia="仿宋_GB2312" w:cs="仿宋_GB2312"/>
          <w:sz w:val="32"/>
          <w:szCs w:val="32"/>
        </w:rPr>
        <w:t>将不属于项目范围的服务事项纳入项目预算编制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rPr>
        <w:t>另一方面每年</w:t>
      </w:r>
      <w:r>
        <w:rPr>
          <w:rFonts w:hint="eastAsia" w:ascii="仿宋_GB2312" w:hAnsi="仿宋_GB2312" w:eastAsia="仿宋_GB2312" w:cs="仿宋_GB2312"/>
          <w:sz w:val="32"/>
          <w:szCs w:val="32"/>
        </w:rPr>
        <w:t>度大量购买耐用物资，合理性存疑。</w:t>
      </w:r>
      <w:bookmarkStart w:id="26" w:name="_Toc119068871"/>
    </w:p>
    <w:p>
      <w:pPr>
        <w:pageBreakBefore w:val="0"/>
        <w:widowControl/>
        <w:kinsoku/>
        <w:wordWrap/>
        <w:overflowPunct w:val="0"/>
        <w:topLinePunct w:val="0"/>
        <w:bidi w:val="0"/>
        <w:spacing w:line="560" w:lineRule="exact"/>
        <w:ind w:firstLine="640" w:firstLineChars="200"/>
        <w:textAlignment w:val="auto"/>
        <w:rPr>
          <w:rFonts w:ascii="等线" w:hAnsi="等线" w:eastAsia="等线" w:cs="Times New Roman"/>
          <w:kern w:val="2"/>
          <w:sz w:val="21"/>
          <w:szCs w:val="22"/>
          <w:lang w:val="en-US" w:eastAsia="zh-CN" w:bidi="ar-SA"/>
        </w:rPr>
      </w:pPr>
      <w:r>
        <w:rPr>
          <w:rFonts w:hint="eastAsia" w:ascii="Times New Roman" w:hAnsi="Times New Roman" w:eastAsia="楷体_GB2312" w:cs="Times New Roman"/>
          <w:b w:val="0"/>
          <w:bCs w:val="0"/>
          <w:kern w:val="2"/>
          <w:sz w:val="32"/>
          <w:szCs w:val="32"/>
          <w:lang w:val="en-US" w:eastAsia="zh-CN" w:bidi="ar-SA"/>
        </w:rPr>
        <w:t>（二）</w:t>
      </w:r>
      <w:r>
        <w:rPr>
          <w:rFonts w:ascii="Times New Roman" w:hAnsi="Times New Roman" w:eastAsia="楷体_GB2312" w:cs="Times New Roman"/>
          <w:b w:val="0"/>
          <w:bCs w:val="0"/>
          <w:kern w:val="2"/>
          <w:sz w:val="32"/>
          <w:szCs w:val="32"/>
          <w:lang w:val="en-US" w:eastAsia="zh-CN" w:bidi="ar-SA"/>
        </w:rPr>
        <w:t>绩效目标不够科学合理，绩效目标约束力不足</w:t>
      </w:r>
      <w:bookmarkEnd w:id="26"/>
    </w:p>
    <w:p>
      <w:pPr>
        <w:pageBreakBefore w:val="0"/>
        <w:tabs>
          <w:tab w:val="left" w:pos="1963"/>
        </w:tabs>
        <w:kinsoku/>
        <w:wordWrap/>
        <w:topLinePunct w:val="0"/>
        <w:bidi w:val="0"/>
        <w:spacing w:line="560" w:lineRule="exact"/>
        <w:ind w:firstLine="643" w:firstLineChars="200"/>
        <w:jc w:val="left"/>
        <w:textAlignment w:val="auto"/>
        <w:rPr>
          <w:rFonts w:hint="eastAsia" w:ascii="仿宋_GB2312" w:hAnsi="仿宋_GB2312" w:eastAsia="仿宋_GB2312" w:cs="仿宋_GB2312"/>
          <w:sz w:val="32"/>
          <w:szCs w:val="32"/>
        </w:rPr>
      </w:pPr>
      <w:bookmarkStart w:id="27" w:name="_Toc119068872"/>
      <w:r>
        <w:rPr>
          <w:rFonts w:hint="eastAsia" w:ascii="仿宋_GB2312" w:hAnsi="仿宋_GB2312" w:eastAsia="仿宋_GB2312" w:cs="仿宋_GB2312"/>
          <w:b/>
          <w:bCs w:val="0"/>
          <w:color w:val="000000"/>
          <w:kern w:val="0"/>
          <w:sz w:val="32"/>
          <w:szCs w:val="32"/>
          <w:lang w:val="en-US" w:eastAsia="zh-CN"/>
        </w:rPr>
        <w:t>一是</w:t>
      </w:r>
      <w:r>
        <w:rPr>
          <w:rFonts w:hint="eastAsia" w:ascii="仿宋_GB2312" w:hAnsi="仿宋_GB2312" w:eastAsia="仿宋_GB2312" w:cs="仿宋_GB2312"/>
          <w:b w:val="0"/>
          <w:bCs/>
          <w:color w:val="000000"/>
          <w:kern w:val="0"/>
          <w:sz w:val="32"/>
          <w:szCs w:val="32"/>
        </w:rPr>
        <w:t>部分绩效指标设置与绩效目标不一致，未全部体现绩效目标的任务</w:t>
      </w:r>
      <w:bookmarkEnd w:id="27"/>
      <w:r>
        <w:rPr>
          <w:rFonts w:hint="eastAsia" w:ascii="仿宋_GB2312" w:hAnsi="仿宋_GB2312" w:eastAsia="仿宋_GB2312" w:cs="仿宋_GB2312"/>
          <w:b w:val="0"/>
          <w:bCs/>
          <w:color w:val="000000"/>
          <w:kern w:val="0"/>
          <w:sz w:val="32"/>
          <w:szCs w:val="32"/>
          <w:lang w:eastAsia="zh-CN"/>
        </w:rPr>
        <w:t>要求。</w:t>
      </w:r>
      <w:bookmarkStart w:id="28" w:name="_Toc119068873"/>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color w:val="000000"/>
          <w:kern w:val="0"/>
          <w:sz w:val="32"/>
          <w:szCs w:val="32"/>
        </w:rPr>
        <w:t>部分绩效指标设置不够科学合理，可衡量性不足</w:t>
      </w:r>
      <w:bookmarkEnd w:id="28"/>
      <w:r>
        <w:rPr>
          <w:rFonts w:hint="eastAsia" w:ascii="仿宋_GB2312" w:hAnsi="仿宋_GB2312" w:eastAsia="仿宋_GB2312" w:cs="仿宋_GB2312"/>
          <w:b w:val="0"/>
          <w:bCs w:val="0"/>
          <w:color w:val="000000"/>
          <w:kern w:val="0"/>
          <w:sz w:val="32"/>
          <w:szCs w:val="32"/>
          <w:lang w:eastAsia="zh-CN"/>
        </w:rPr>
        <w:t>。</w:t>
      </w:r>
    </w:p>
    <w:p>
      <w:pPr>
        <w:pStyle w:val="6"/>
        <w:pageBreakBefore w:val="0"/>
        <w:tabs>
          <w:tab w:val="left" w:pos="210"/>
        </w:tabs>
        <w:kinsoku/>
        <w:wordWrap/>
        <w:overflowPunct w:val="0"/>
        <w:topLinePunct w:val="0"/>
        <w:bidi w:val="0"/>
        <w:spacing w:before="0" w:after="0" w:line="560" w:lineRule="exact"/>
        <w:ind w:firstLine="640" w:firstLineChars="200"/>
        <w:textAlignment w:val="auto"/>
        <w:rPr>
          <w:rFonts w:ascii="Times New Roman" w:hAnsi="Times New Roman" w:eastAsia="楷体_GB2312"/>
          <w:b w:val="0"/>
          <w:bCs w:val="0"/>
          <w:color w:val="000000"/>
        </w:rPr>
      </w:pPr>
      <w:bookmarkStart w:id="29" w:name="_Toc119068874"/>
      <w:r>
        <w:rPr>
          <w:rFonts w:ascii="Times New Roman" w:hAnsi="Times New Roman" w:eastAsia="楷体_GB2312"/>
          <w:b w:val="0"/>
          <w:bCs w:val="0"/>
          <w:color w:val="000000"/>
        </w:rPr>
        <w:t>（三）部分资助项目管理不够到位，工作开展的效率性、效果性不足</w:t>
      </w:r>
      <w:bookmarkEnd w:id="29"/>
    </w:p>
    <w:p>
      <w:pPr>
        <w:pageBreakBefore w:val="0"/>
        <w:widowControl/>
        <w:kinsoku/>
        <w:wordWrap/>
        <w:topLinePunct w:val="0"/>
        <w:autoSpaceDE w:val="0"/>
        <w:autoSpaceDN w:val="0"/>
        <w:bidi w:val="0"/>
        <w:spacing w:line="560" w:lineRule="exact"/>
        <w:ind w:firstLine="643" w:firstLineChars="200"/>
        <w:textAlignment w:val="auto"/>
        <w:outlineLvl w:val="2"/>
        <w:rPr>
          <w:rFonts w:hint="eastAsia" w:ascii="仿宋_GB2312" w:hAnsi="仿宋_GB2312" w:eastAsia="仿宋_GB2312" w:cs="仿宋_GB2312"/>
          <w:sz w:val="32"/>
          <w:szCs w:val="32"/>
          <w:lang w:eastAsia="zh-CN"/>
        </w:rPr>
      </w:pPr>
      <w:bookmarkStart w:id="30" w:name="_Toc119068876"/>
      <w:r>
        <w:rPr>
          <w:rFonts w:hint="eastAsia" w:ascii="仿宋_GB2312" w:hAnsi="仿宋_GB2312" w:eastAsia="仿宋_GB2312" w:cs="仿宋_GB2312"/>
          <w:b/>
          <w:bCs w:val="0"/>
          <w:color w:val="000000"/>
          <w:kern w:val="0"/>
          <w:sz w:val="32"/>
          <w:szCs w:val="32"/>
          <w:lang w:eastAsia="zh-CN"/>
        </w:rPr>
        <w:t>一是</w:t>
      </w:r>
      <w:r>
        <w:rPr>
          <w:rFonts w:hint="eastAsia" w:ascii="仿宋_GB2312" w:hAnsi="仿宋_GB2312" w:eastAsia="仿宋_GB2312" w:cs="仿宋_GB2312"/>
          <w:b w:val="0"/>
          <w:bCs/>
          <w:color w:val="000000"/>
          <w:kern w:val="0"/>
          <w:sz w:val="32"/>
          <w:szCs w:val="32"/>
        </w:rPr>
        <w:t>部分项目过程监管不到位，影响工程建设质效</w:t>
      </w:r>
      <w:bookmarkEnd w:id="30"/>
      <w:r>
        <w:rPr>
          <w:rFonts w:hint="eastAsia" w:ascii="仿宋_GB2312" w:hAnsi="仿宋_GB2312" w:eastAsia="仿宋_GB2312" w:cs="仿宋_GB2312"/>
          <w:b w:val="0"/>
          <w:bCs/>
          <w:color w:val="000000"/>
          <w:kern w:val="0"/>
          <w:sz w:val="32"/>
          <w:szCs w:val="32"/>
          <w:lang w:eastAsia="zh-CN"/>
        </w:rPr>
        <w:t>。</w:t>
      </w:r>
      <w:bookmarkStart w:id="31" w:name="_Toc119068877"/>
      <w:r>
        <w:rPr>
          <w:rFonts w:hint="eastAsia" w:ascii="仿宋_GB2312" w:hAnsi="仿宋_GB2312" w:eastAsia="仿宋_GB2312" w:cs="仿宋_GB2312"/>
          <w:b/>
          <w:color w:val="000000"/>
          <w:kern w:val="0"/>
          <w:sz w:val="32"/>
          <w:szCs w:val="32"/>
          <w:lang w:eastAsia="zh-CN"/>
        </w:rPr>
        <w:t>二是</w:t>
      </w:r>
      <w:r>
        <w:rPr>
          <w:rFonts w:hint="eastAsia" w:ascii="仿宋_GB2312" w:hAnsi="仿宋_GB2312" w:eastAsia="仿宋_GB2312" w:cs="仿宋_GB2312"/>
          <w:b w:val="0"/>
          <w:bCs/>
          <w:color w:val="000000"/>
          <w:kern w:val="0"/>
          <w:sz w:val="32"/>
          <w:szCs w:val="32"/>
          <w:lang w:eastAsia="zh-CN"/>
        </w:rPr>
        <w:t>部分项目</w:t>
      </w:r>
      <w:r>
        <w:rPr>
          <w:rFonts w:hint="eastAsia" w:ascii="仿宋_GB2312" w:hAnsi="仿宋_GB2312" w:eastAsia="仿宋_GB2312" w:cs="仿宋_GB2312"/>
          <w:b w:val="0"/>
          <w:bCs/>
          <w:color w:val="000000"/>
          <w:kern w:val="0"/>
          <w:sz w:val="32"/>
          <w:szCs w:val="32"/>
        </w:rPr>
        <w:t>结算不及时，超出规定时限</w:t>
      </w:r>
      <w:bookmarkEnd w:id="31"/>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rPr>
        <w:t>部分项目合同签署时间早于签订请示审批时间，合同管理水平有待加强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val="0"/>
          <w:bCs w:val="0"/>
          <w:sz w:val="32"/>
          <w:szCs w:val="32"/>
        </w:rPr>
        <w:t>部分项目费用未据实结算，造成财政资金多付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val="0"/>
          <w:bCs w:val="0"/>
          <w:sz w:val="32"/>
          <w:szCs w:val="32"/>
        </w:rPr>
        <w:t>未设立资助标识，影响知晓度</w:t>
      </w:r>
      <w:r>
        <w:rPr>
          <w:rFonts w:hint="eastAsia" w:ascii="仿宋_GB2312" w:hAnsi="仿宋_GB2312" w:eastAsia="仿宋_GB2312" w:cs="仿宋_GB2312"/>
          <w:b w:val="0"/>
          <w:bCs w:val="0"/>
          <w:sz w:val="32"/>
          <w:szCs w:val="32"/>
          <w:lang w:eastAsia="zh-CN"/>
        </w:rPr>
        <w:t>。</w:t>
      </w:r>
    </w:p>
    <w:p>
      <w:pPr>
        <w:pStyle w:val="6"/>
        <w:pageBreakBefore w:val="0"/>
        <w:tabs>
          <w:tab w:val="left" w:pos="210"/>
        </w:tabs>
        <w:kinsoku/>
        <w:wordWrap/>
        <w:overflowPunct w:val="0"/>
        <w:topLinePunct w:val="0"/>
        <w:bidi w:val="0"/>
        <w:spacing w:before="0" w:after="0" w:line="560" w:lineRule="exact"/>
        <w:ind w:firstLine="640" w:firstLineChars="200"/>
        <w:textAlignment w:val="auto"/>
        <w:rPr>
          <w:rFonts w:ascii="Times New Roman" w:hAnsi="Times New Roman" w:eastAsia="楷体_GB2312"/>
          <w:b w:val="0"/>
          <w:bCs w:val="0"/>
        </w:rPr>
      </w:pPr>
      <w:bookmarkStart w:id="32" w:name="_Toc119068878"/>
      <w:r>
        <w:rPr>
          <w:rFonts w:ascii="Times New Roman" w:hAnsi="Times New Roman" w:eastAsia="楷体_GB2312"/>
          <w:b w:val="0"/>
          <w:bCs w:val="0"/>
        </w:rPr>
        <w:t>（四）临时用地使用期限短，</w:t>
      </w:r>
      <w:r>
        <w:rPr>
          <w:rFonts w:hint="eastAsia" w:ascii="Times New Roman" w:hAnsi="Times New Roman" w:eastAsia="楷体_GB2312"/>
          <w:b w:val="0"/>
          <w:bCs w:val="0"/>
        </w:rPr>
        <w:t>足球场</w:t>
      </w:r>
      <w:r>
        <w:rPr>
          <w:rFonts w:ascii="Times New Roman" w:hAnsi="Times New Roman" w:eastAsia="楷体_GB2312"/>
          <w:b w:val="0"/>
          <w:bCs w:val="0"/>
        </w:rPr>
        <w:t>建设资金或因用地问题浪费</w:t>
      </w:r>
      <w:bookmarkEnd w:id="32"/>
    </w:p>
    <w:p>
      <w:pPr>
        <w:pageBreakBefore w:val="0"/>
        <w:widowControl/>
        <w:kinsoku/>
        <w:wordWrap/>
        <w:overflowPunct w:val="0"/>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部分足球场建设在临时用地上，相关土地使用期限短，足球场或因城市规划建设等原因被拆除，导致建设资金或因用地问题浪费的情况。</w:t>
      </w:r>
      <w:r>
        <w:rPr>
          <w:rFonts w:hint="eastAsia" w:ascii="仿宋_GB2312" w:hAnsi="仿宋_GB2312" w:eastAsia="仿宋_GB2312" w:cs="仿宋_GB2312"/>
          <w:sz w:val="32"/>
          <w:szCs w:val="32"/>
          <w:lang w:eastAsia="zh-CN"/>
        </w:rPr>
        <w:t>例如</w:t>
      </w:r>
      <w:r>
        <w:rPr>
          <w:rFonts w:hint="eastAsia" w:ascii="仿宋_GB2312" w:hAnsi="仿宋_GB2312" w:eastAsia="仿宋_GB2312" w:cs="仿宋_GB2312"/>
          <w:sz w:val="32"/>
          <w:szCs w:val="32"/>
        </w:rPr>
        <w:t>上古木足球场建设用地的使用期限已超过1年，若足球场在使用期内涉及城市规划建设，将按规定无偿清场并配合相关单位完成土地移交工作，存在建设资金浪费的问题，严重影响建设资金的可持续性效益发挥。</w:t>
      </w:r>
    </w:p>
    <w:p>
      <w:pPr>
        <w:pStyle w:val="6"/>
        <w:pageBreakBefore w:val="0"/>
        <w:tabs>
          <w:tab w:val="left" w:pos="210"/>
        </w:tabs>
        <w:kinsoku/>
        <w:wordWrap/>
        <w:overflowPunct w:val="0"/>
        <w:topLinePunct w:val="0"/>
        <w:bidi w:val="0"/>
        <w:spacing w:before="0" w:after="0" w:line="560" w:lineRule="exact"/>
        <w:ind w:firstLine="640" w:firstLineChars="200"/>
        <w:textAlignment w:val="auto"/>
        <w:rPr>
          <w:rFonts w:ascii="Times New Roman" w:hAnsi="Times New Roman" w:eastAsia="楷体_GB2312"/>
          <w:b w:val="0"/>
          <w:bCs w:val="0"/>
          <w:color w:val="000000"/>
        </w:rPr>
      </w:pPr>
      <w:bookmarkStart w:id="33" w:name="_Toc119068879"/>
      <w:r>
        <w:rPr>
          <w:rFonts w:ascii="Times New Roman" w:hAnsi="Times New Roman" w:eastAsia="楷体_GB2312"/>
          <w:b w:val="0"/>
          <w:bCs w:val="0"/>
          <w:color w:val="000000"/>
        </w:rPr>
        <w:t>（五）公益金支出情况公示不足，公示质量有待提升</w:t>
      </w:r>
      <w:bookmarkEnd w:id="33"/>
    </w:p>
    <w:p>
      <w:pPr>
        <w:pageBreakBefore w:val="0"/>
        <w:kinsoku/>
        <w:wordWrap/>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区文化广电旅游体育局公示了公益金使用金额及支出方向情况，但未公示资助项目、执行情况和实际效果，不符合《深圳市体育彩票公益金管理办法》（深财规〔2015〕9号）第十八条“体育行政部门于每年6月底前向社会公告上一年度体彩公益金的使用规模、资助项目、执行情况和实际效果等”的规定，其公示质量有待进一步提升。</w:t>
      </w:r>
    </w:p>
    <w:p>
      <w:pPr>
        <w:keepNext/>
        <w:keepLines/>
        <w:pageBreakBefore w:val="0"/>
        <w:tabs>
          <w:tab w:val="left" w:pos="0"/>
        </w:tabs>
        <w:kinsoku/>
        <w:wordWrap/>
        <w:topLinePunct w:val="0"/>
        <w:bidi w:val="0"/>
        <w:spacing w:line="560" w:lineRule="exact"/>
        <w:ind w:firstLine="640" w:firstLineChars="200"/>
        <w:textAlignment w:val="auto"/>
        <w:outlineLvl w:val="1"/>
        <w:rPr>
          <w:rFonts w:ascii="Times New Roman" w:hAnsi="Times New Roman" w:eastAsia="黑体"/>
          <w:sz w:val="32"/>
          <w:szCs w:val="32"/>
        </w:rPr>
      </w:pPr>
      <w:bookmarkStart w:id="34" w:name="_Toc1789140099"/>
      <w:bookmarkStart w:id="35" w:name="_Toc1781886704"/>
      <w:bookmarkStart w:id="36" w:name="_Toc29928926"/>
      <w:bookmarkStart w:id="37" w:name="_Toc119068880"/>
      <w:bookmarkStart w:id="38" w:name="_Toc1788276730"/>
      <w:bookmarkStart w:id="39" w:name="_Toc1267426336"/>
      <w:bookmarkStart w:id="40" w:name="_Toc779958257"/>
      <w:bookmarkStart w:id="41" w:name="_Toc106659171"/>
      <w:bookmarkStart w:id="42" w:name="_Toc1969134955"/>
      <w:r>
        <w:rPr>
          <w:rFonts w:hint="eastAsia" w:ascii="Times New Roman" w:hAnsi="Times New Roman" w:eastAsia="黑体"/>
          <w:sz w:val="32"/>
          <w:szCs w:val="32"/>
          <w:lang w:eastAsia="zh-CN"/>
        </w:rPr>
        <w:t>四</w:t>
      </w:r>
      <w:r>
        <w:rPr>
          <w:rFonts w:ascii="Times New Roman" w:hAnsi="Times New Roman" w:eastAsia="黑体"/>
          <w:sz w:val="32"/>
          <w:szCs w:val="32"/>
        </w:rPr>
        <w:t>、相关建议</w:t>
      </w:r>
      <w:bookmarkEnd w:id="34"/>
      <w:bookmarkEnd w:id="35"/>
      <w:bookmarkEnd w:id="36"/>
      <w:bookmarkEnd w:id="37"/>
      <w:bookmarkEnd w:id="38"/>
      <w:bookmarkEnd w:id="39"/>
      <w:bookmarkEnd w:id="40"/>
      <w:bookmarkEnd w:id="41"/>
      <w:bookmarkEnd w:id="42"/>
      <w:bookmarkStart w:id="43" w:name="_Toc1533361345"/>
      <w:bookmarkStart w:id="44" w:name="_Toc1011618599"/>
      <w:bookmarkStart w:id="45" w:name="_Toc744134559"/>
      <w:bookmarkStart w:id="46" w:name="_Toc1510376713"/>
      <w:bookmarkStart w:id="47" w:name="_Toc504285884"/>
      <w:bookmarkStart w:id="48" w:name="_Toc518244111"/>
      <w:bookmarkStart w:id="49" w:name="_Toc380704768"/>
      <w:bookmarkStart w:id="50" w:name="_Toc106659172"/>
    </w:p>
    <w:p>
      <w:pPr>
        <w:pStyle w:val="6"/>
        <w:pageBreakBefore w:val="0"/>
        <w:tabs>
          <w:tab w:val="left" w:pos="210"/>
        </w:tabs>
        <w:kinsoku/>
        <w:wordWrap/>
        <w:overflowPunct w:val="0"/>
        <w:topLinePunct w:val="0"/>
        <w:bidi w:val="0"/>
        <w:spacing w:before="0" w:after="0" w:line="560" w:lineRule="exact"/>
        <w:ind w:firstLine="640" w:firstLineChars="200"/>
        <w:textAlignment w:val="auto"/>
        <w:rPr>
          <w:rFonts w:ascii="Times New Roman" w:hAnsi="Times New Roman" w:eastAsia="楷体_GB2312"/>
          <w:b w:val="0"/>
          <w:bCs w:val="0"/>
          <w:color w:val="000000"/>
        </w:rPr>
      </w:pPr>
      <w:bookmarkStart w:id="51" w:name="_Toc119068881"/>
      <w:r>
        <w:rPr>
          <w:rFonts w:ascii="Times New Roman" w:hAnsi="Times New Roman" w:eastAsia="楷体_GB2312"/>
          <w:b w:val="0"/>
          <w:bCs w:val="0"/>
          <w:color w:val="000000"/>
        </w:rPr>
        <w:t>（一）</w:t>
      </w:r>
      <w:bookmarkEnd w:id="43"/>
      <w:bookmarkEnd w:id="44"/>
      <w:r>
        <w:rPr>
          <w:rFonts w:ascii="Times New Roman" w:hAnsi="Times New Roman" w:eastAsia="楷体_GB2312"/>
          <w:b w:val="0"/>
          <w:bCs w:val="0"/>
          <w:color w:val="000000"/>
        </w:rPr>
        <w:t>细编详编项目预算，</w:t>
      </w:r>
      <w:bookmarkEnd w:id="45"/>
      <w:bookmarkEnd w:id="46"/>
      <w:bookmarkEnd w:id="47"/>
      <w:bookmarkEnd w:id="48"/>
      <w:bookmarkEnd w:id="49"/>
      <w:bookmarkEnd w:id="50"/>
      <w:r>
        <w:rPr>
          <w:rFonts w:ascii="Times New Roman" w:hAnsi="Times New Roman" w:eastAsia="楷体_GB2312"/>
          <w:b w:val="0"/>
          <w:bCs w:val="0"/>
          <w:color w:val="000000"/>
        </w:rPr>
        <w:t>提高预算编制的科学性、准确性</w:t>
      </w:r>
      <w:bookmarkEnd w:id="51"/>
      <w:r>
        <w:rPr>
          <w:rFonts w:ascii="Times New Roman" w:hAnsi="Times New Roman" w:eastAsia="楷体_GB2312"/>
          <w:b w:val="0"/>
          <w:bCs w:val="0"/>
          <w:color w:val="000000"/>
        </w:rPr>
        <w:t xml:space="preserve"> </w:t>
      </w:r>
    </w:p>
    <w:p>
      <w:pPr>
        <w:pageBreakBefore w:val="0"/>
        <w:kinsoku/>
        <w:wordWrap/>
        <w:topLinePunct w:val="0"/>
        <w:bidi w:val="0"/>
        <w:adjustRightInd w:val="0"/>
        <w:snapToGrid w:val="0"/>
        <w:spacing w:line="560" w:lineRule="exact"/>
        <w:ind w:firstLine="643" w:firstLineChars="200"/>
        <w:textAlignment w:val="auto"/>
        <w:rPr>
          <w:rFonts w:ascii="Times New Roman" w:hAnsi="Times New Roman" w:eastAsia="仿宋_GB2312"/>
          <w:b/>
          <w:bCs/>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val="0"/>
          <w:bCs w:val="0"/>
          <w:sz w:val="32"/>
          <w:szCs w:val="32"/>
        </w:rPr>
        <w:t>加强目标计划与预算编制的衔接，提高预算编制准确性。</w:t>
      </w:r>
      <w:r>
        <w:rPr>
          <w:rFonts w:hint="eastAsia" w:ascii="仿宋_GB2312" w:hAnsi="仿宋_GB2312" w:eastAsia="仿宋_GB2312" w:cs="仿宋_GB2312"/>
          <w:sz w:val="32"/>
          <w:szCs w:val="32"/>
        </w:rPr>
        <w:t>在预算编制前要加强前期调研，结合往年度工作开展情况，以及当年度新增需求，对项目的实际需求和目标进行充分论证，并从项目立项目标出发，科学设置项目的实施内容和计划，并根据项目目标计划，合理预测项目所需资金。</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val="0"/>
          <w:bCs w:val="0"/>
          <w:sz w:val="32"/>
          <w:szCs w:val="32"/>
        </w:rPr>
        <w:t>加强项目测算标准管理，提高预算编制的科学性。针对延续性项</w:t>
      </w:r>
      <w:r>
        <w:rPr>
          <w:rFonts w:hint="eastAsia" w:ascii="仿宋_GB2312" w:hAnsi="仿宋_GB2312" w:eastAsia="仿宋_GB2312" w:cs="仿宋_GB2312"/>
          <w:sz w:val="32"/>
          <w:szCs w:val="32"/>
        </w:rPr>
        <w:t>目，加强往年执行项目成本分析，评估各项资源配置的实际需求，核算实际工作量和单价标准，作为下年度预算编制的参考。在预算编制阶段，通过参考往年成本情况，综合考虑执行过程中的影响因素，做到预算编制细化量化、测算过程具体、计算准确、依据充分、确保预算金额与实际需求相符，充分发挥预算约束执行的导向作用。</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设定行业支出标准，推进预算编制科学严谨。支出标</w:t>
      </w:r>
      <w:r>
        <w:rPr>
          <w:rFonts w:hint="eastAsia" w:ascii="仿宋_GB2312" w:hAnsi="仿宋_GB2312" w:eastAsia="仿宋_GB2312" w:cs="仿宋_GB2312"/>
          <w:sz w:val="32"/>
          <w:szCs w:val="32"/>
        </w:rPr>
        <w:t>准是预算编制的重要基础，是控制压缩行政成本，确保预算分配公平公正的重要依据。为此《国务院关于进一步深化预算管理制度的意见》指出，应积极推进行业支出标准体系建设，将支出标准作为预算编制的基本依据，不得超标准编制预算。因此，区文化广电旅游体育局不仅要规范预算编制行为，严格遵循各类支出标准编制预算，还应高度关注行业支出标准的设定，故而区文化广电旅游体育局“十四五”时期，还应加大行业支出标准体系建设力度，推动与高质量文体发展相适应的预算支出标准体系构建，逐步建立健全项目的支出标准体系，逐步规范各类项目的测算标准。</w:t>
      </w:r>
    </w:p>
    <w:p>
      <w:pPr>
        <w:pStyle w:val="6"/>
        <w:pageBreakBefore w:val="0"/>
        <w:tabs>
          <w:tab w:val="left" w:pos="210"/>
        </w:tabs>
        <w:kinsoku/>
        <w:wordWrap/>
        <w:overflowPunct w:val="0"/>
        <w:topLinePunct w:val="0"/>
        <w:bidi w:val="0"/>
        <w:spacing w:before="0" w:after="0" w:line="560" w:lineRule="exact"/>
        <w:ind w:firstLine="640" w:firstLineChars="200"/>
        <w:textAlignment w:val="auto"/>
        <w:rPr>
          <w:rFonts w:ascii="Times New Roman" w:hAnsi="Times New Roman" w:eastAsia="楷体_GB2312"/>
          <w:b w:val="0"/>
          <w:bCs w:val="0"/>
          <w:color w:val="000000"/>
        </w:rPr>
      </w:pPr>
      <w:bookmarkStart w:id="52" w:name="_Toc28363897"/>
      <w:bookmarkStart w:id="53" w:name="_Toc26970341"/>
      <w:bookmarkStart w:id="54" w:name="_Toc26212022"/>
      <w:bookmarkStart w:id="55" w:name="_Toc119068882"/>
      <w:r>
        <w:rPr>
          <w:rFonts w:ascii="Times New Roman" w:hAnsi="Times New Roman" w:eastAsia="楷体_GB2312"/>
          <w:b w:val="0"/>
          <w:bCs w:val="0"/>
          <w:color w:val="000000"/>
        </w:rPr>
        <w:t>（二）</w:t>
      </w:r>
      <w:bookmarkEnd w:id="52"/>
      <w:bookmarkEnd w:id="53"/>
      <w:bookmarkEnd w:id="54"/>
      <w:r>
        <w:rPr>
          <w:rFonts w:ascii="Times New Roman" w:hAnsi="Times New Roman" w:eastAsia="楷体_GB2312"/>
          <w:b w:val="0"/>
          <w:bCs w:val="0"/>
          <w:color w:val="000000"/>
        </w:rPr>
        <w:t>加强目标与计划的衔接性，优化绩效目标设置</w:t>
      </w:r>
      <w:bookmarkEnd w:id="55"/>
    </w:p>
    <w:p>
      <w:pPr>
        <w:pageBreakBefore w:val="0"/>
        <w:kinsoku/>
        <w:wordWrap/>
        <w:topLinePunct w:val="0"/>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一是</w:t>
      </w:r>
      <w:r>
        <w:rPr>
          <w:rFonts w:hint="eastAsia" w:ascii="仿宋_GB2312" w:hAnsi="仿宋_GB2312" w:eastAsia="仿宋_GB2312" w:cs="仿宋_GB2312"/>
          <w:b w:val="0"/>
          <w:bCs w:val="0"/>
          <w:sz w:val="32"/>
          <w:szCs w:val="32"/>
          <w:lang w:val="zh-CN"/>
        </w:rPr>
        <w:t>完善内部工作机制。区文化广电旅游体育局应结合公益金资助项目的业务特点，完善内部工作机制，明确内部绩效目</w:t>
      </w:r>
      <w:r>
        <w:rPr>
          <w:rFonts w:hint="eastAsia" w:ascii="仿宋_GB2312" w:hAnsi="仿宋_GB2312" w:eastAsia="仿宋_GB2312" w:cs="仿宋_GB2312"/>
          <w:sz w:val="32"/>
          <w:szCs w:val="32"/>
          <w:lang w:val="zh-CN"/>
        </w:rPr>
        <w:t>标设置和审核的责任分工，建立公益金资助项目的核心绩效指标体系。在绩效管理过程中，加强财务工作与业务工作的紧密衔接，提升绩效管理水平。</w:t>
      </w:r>
      <w:r>
        <w:rPr>
          <w:rFonts w:hint="eastAsia" w:ascii="仿宋_GB2312" w:hAnsi="仿宋_GB2312" w:eastAsia="仿宋_GB2312" w:cs="仿宋_GB2312"/>
          <w:b/>
          <w:bCs/>
          <w:sz w:val="32"/>
          <w:szCs w:val="32"/>
          <w:lang w:val="zh-CN"/>
        </w:rPr>
        <w:t>二是</w:t>
      </w:r>
      <w:r>
        <w:rPr>
          <w:rFonts w:hint="eastAsia" w:ascii="仿宋_GB2312" w:hAnsi="仿宋_GB2312" w:eastAsia="仿宋_GB2312" w:cs="仿宋_GB2312"/>
          <w:b w:val="0"/>
          <w:bCs w:val="0"/>
          <w:sz w:val="32"/>
          <w:szCs w:val="32"/>
          <w:lang w:val="zh-CN"/>
        </w:rPr>
        <w:t>加强体彩公益金项目审核。</w:t>
      </w:r>
      <w:r>
        <w:rPr>
          <w:rFonts w:hint="eastAsia" w:ascii="仿宋_GB2312" w:hAnsi="仿宋_GB2312" w:eastAsia="仿宋_GB2312" w:cs="仿宋_GB2312"/>
          <w:sz w:val="32"/>
          <w:szCs w:val="32"/>
          <w:lang w:val="zh-CN"/>
        </w:rPr>
        <w:t>以绩效服务于预算决策是预算绩效管理的首要环节，区文化广电旅游体育局应依照中共中央国务院《关于全面实施预算绩效管理的意见》要求，根据《</w:t>
      </w:r>
      <w:r>
        <w:rPr>
          <w:rFonts w:ascii="Times New Roman" w:hAnsi="Times New Roman" w:eastAsia="仿宋_GB2312"/>
          <w:color w:val="000000"/>
          <w:sz w:val="32"/>
          <w:szCs w:val="32"/>
        </w:rPr>
        <w:t>龙岗区体育彩票公益金使用管理暂行办法</w:t>
      </w:r>
      <w:r>
        <w:rPr>
          <w:rFonts w:hint="eastAsia" w:ascii="仿宋_GB2312" w:hAnsi="仿宋_GB2312" w:eastAsia="仿宋_GB2312" w:cs="仿宋_GB2312"/>
          <w:sz w:val="32"/>
          <w:szCs w:val="32"/>
          <w:lang w:val="zh-CN"/>
        </w:rPr>
        <w:t>》及相关政策规定，做好公益金资助项目的前期审核，确保其具备立项必要性并按照轻重缓急排序，突出保障重点项目。</w:t>
      </w:r>
      <w:r>
        <w:rPr>
          <w:rFonts w:hint="eastAsia" w:ascii="仿宋_GB2312" w:hAnsi="仿宋_GB2312" w:eastAsia="仿宋_GB2312" w:cs="仿宋_GB2312"/>
          <w:b/>
          <w:bCs/>
          <w:sz w:val="32"/>
          <w:szCs w:val="32"/>
          <w:lang w:val="zh-CN"/>
        </w:rPr>
        <w:t>三是</w:t>
      </w:r>
      <w:r>
        <w:rPr>
          <w:rFonts w:hint="eastAsia" w:ascii="仿宋_GB2312" w:hAnsi="仿宋_GB2312" w:eastAsia="仿宋_GB2312" w:cs="仿宋_GB2312"/>
          <w:b w:val="0"/>
          <w:bCs w:val="0"/>
          <w:sz w:val="32"/>
          <w:szCs w:val="32"/>
          <w:lang w:val="zh-CN"/>
        </w:rPr>
        <w:t>完善绩效目标管理，充分发挥绩效目标的约束与引导作用。区文化广电旅游体育局应依照中共中央国务院《关于全面实施预算绩效</w:t>
      </w:r>
      <w:r>
        <w:rPr>
          <w:rFonts w:hint="eastAsia" w:ascii="仿宋_GB2312" w:hAnsi="仿宋_GB2312" w:eastAsia="仿宋_GB2312" w:cs="仿宋_GB2312"/>
          <w:sz w:val="32"/>
          <w:szCs w:val="32"/>
          <w:lang w:val="zh-CN"/>
        </w:rPr>
        <w:t>管理的意见》要求，围绕公益金年度重点工作及其突出保障的重点项目，按照细化、量化、可考核的要求，全面设置绩效目标，强化绩效目标对项目执行及绩效评价的约束力。</w:t>
      </w:r>
    </w:p>
    <w:p>
      <w:pPr>
        <w:pStyle w:val="6"/>
        <w:pageBreakBefore w:val="0"/>
        <w:tabs>
          <w:tab w:val="left" w:pos="210"/>
        </w:tabs>
        <w:kinsoku/>
        <w:wordWrap/>
        <w:overflowPunct w:val="0"/>
        <w:topLinePunct w:val="0"/>
        <w:bidi w:val="0"/>
        <w:spacing w:before="0" w:after="0" w:line="560" w:lineRule="exact"/>
        <w:ind w:firstLine="640" w:firstLineChars="200"/>
        <w:textAlignment w:val="auto"/>
        <w:rPr>
          <w:rFonts w:ascii="Times New Roman" w:hAnsi="Times New Roman" w:eastAsia="楷体_GB2312"/>
          <w:b w:val="0"/>
          <w:bCs w:val="0"/>
          <w:color w:val="000000"/>
        </w:rPr>
      </w:pPr>
      <w:bookmarkStart w:id="56" w:name="_Toc28363893"/>
      <w:bookmarkStart w:id="57" w:name="_Toc26970337"/>
      <w:bookmarkStart w:id="58" w:name="_Toc119068883"/>
      <w:r>
        <w:rPr>
          <w:rFonts w:ascii="Times New Roman" w:hAnsi="Times New Roman" w:eastAsia="楷体_GB2312"/>
          <w:b w:val="0"/>
          <w:bCs w:val="0"/>
          <w:color w:val="000000"/>
        </w:rPr>
        <w:t>（三）加强项目实施管理，提高项目实施的效率性和效果性</w:t>
      </w:r>
      <w:bookmarkEnd w:id="56"/>
      <w:bookmarkEnd w:id="57"/>
      <w:bookmarkEnd w:id="58"/>
    </w:p>
    <w:p>
      <w:pPr>
        <w:pageBreakBefore w:val="0"/>
        <w:kinsoku/>
        <w:wordWrap/>
        <w:topLinePunct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在工程项目管理方面，一是</w:t>
      </w:r>
      <w:r>
        <w:rPr>
          <w:rFonts w:hint="eastAsia" w:ascii="仿宋_GB2312" w:hAnsi="仿宋_GB2312" w:eastAsia="仿宋_GB2312" w:cs="仿宋_GB2312"/>
          <w:sz w:val="32"/>
          <w:szCs w:val="32"/>
        </w:rPr>
        <w:t>应加强前期工作的组织统筹，严格要求设计单位在充分考虑施工难度和项目施工环境下开展设计工作，加强对方案深化设计工作的把控力度，在项目前期阶段持续深化项目设计，确保前期论证充分，保证前期工作深度达到规定要求。</w:t>
      </w:r>
      <w:r>
        <w:rPr>
          <w:rFonts w:hint="eastAsia" w:ascii="仿宋_GB2312" w:hAnsi="仿宋_GB2312" w:eastAsia="仿宋_GB2312" w:cs="仿宋_GB2312"/>
          <w:b/>
          <w:bCs/>
          <w:sz w:val="32"/>
          <w:szCs w:val="32"/>
        </w:rPr>
        <w:t>二是</w:t>
      </w:r>
      <w:r>
        <w:rPr>
          <w:rFonts w:hint="eastAsia" w:ascii="仿宋_GB2312" w:hAnsi="仿宋_GB2312" w:eastAsia="仿宋_GB2312" w:cs="仿宋_GB2312"/>
          <w:bCs/>
          <w:color w:val="000000"/>
          <w:sz w:val="32"/>
        </w:rPr>
        <w:t>应加强项目施工现场管理，监督监理单位履职，督促施工单位按照要求组织施工，做好项目进度统筹，落实安全生产措施，对监督发现的问题要求相关方及时整改并对整改情况和效果进行跟进落实。</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做好验收方案，明确验收阶段安排，按照建设标准和合同，在规定的时限内完成验收、结算、决算等工作</w:t>
      </w:r>
      <w:r>
        <w:rPr>
          <w:rFonts w:hint="eastAsia" w:ascii="仿宋_GB2312" w:hAnsi="仿宋_GB2312" w:eastAsia="仿宋_GB2312" w:cs="仿宋_GB2312"/>
          <w:sz w:val="32"/>
          <w:szCs w:val="32"/>
          <w:lang w:val="zh-CN"/>
        </w:rPr>
        <w:t>。</w:t>
      </w:r>
      <w:r>
        <w:rPr>
          <w:rFonts w:hint="eastAsia" w:ascii="仿宋_GB2312" w:hAnsi="仿宋_GB2312" w:eastAsia="仿宋_GB2312" w:cs="仿宋_GB2312"/>
          <w:b/>
          <w:bCs/>
          <w:sz w:val="32"/>
          <w:szCs w:val="32"/>
        </w:rPr>
        <w:t>在合同管理方面，一是</w:t>
      </w:r>
      <w:r>
        <w:rPr>
          <w:rFonts w:hint="eastAsia" w:ascii="仿宋_GB2312" w:hAnsi="仿宋_GB2312" w:eastAsia="仿宋_GB2312" w:cs="仿宋_GB2312"/>
          <w:sz w:val="32"/>
          <w:szCs w:val="32"/>
        </w:rPr>
        <w:t>规范合同管理，厘清合同基本要件，明确相关工作任务及完成质量要求，明确违约条款，并按照审批程序审核后签订。</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履约过程监管，应对项目的实施进度、实施成效和资金使用情况等进行监管，加强绩效运行监控。应对项目的绩效目标实现程度和资金支出进度实行“双监控”，发现问题及时纠正，确保项目绩效目标如期保质保量实现，对存在问题的，要督促及时整改落实。</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rPr>
        <w:t>严格按照合同及实施方案开展履约验收并据实结算，对</w:t>
      </w:r>
      <w:r>
        <w:rPr>
          <w:rFonts w:hint="eastAsia" w:ascii="仿宋_GB2312" w:hAnsi="仿宋_GB2312" w:eastAsia="仿宋_GB2312" w:cs="仿宋_GB2312"/>
          <w:sz w:val="32"/>
          <w:szCs w:val="32"/>
        </w:rPr>
        <w:t>存在未完成目标任务、完成质量不达标、整改落实不到位等情况的项目，应按照合同及实施方案的相关规定处理。</w:t>
      </w:r>
      <w:r>
        <w:rPr>
          <w:rFonts w:hint="eastAsia" w:ascii="仿宋_GB2312" w:hAnsi="仿宋_GB2312" w:eastAsia="仿宋_GB2312" w:cs="仿宋_GB2312"/>
          <w:b/>
          <w:bCs/>
          <w:sz w:val="32"/>
          <w:szCs w:val="32"/>
        </w:rPr>
        <w:t>在项目信息公示方面，</w:t>
      </w:r>
      <w:r>
        <w:rPr>
          <w:rFonts w:hint="eastAsia" w:ascii="仿宋_GB2312" w:hAnsi="仿宋_GB2312" w:eastAsia="仿宋_GB2312" w:cs="仿宋_GB2312"/>
          <w:sz w:val="32"/>
          <w:szCs w:val="32"/>
        </w:rPr>
        <w:t>严格按照有关规定要求进行公示，发挥社会公众的监管作用。</w:t>
      </w:r>
    </w:p>
    <w:p>
      <w:pPr>
        <w:keepNext/>
        <w:keepLines/>
        <w:pageBreakBefore w:val="0"/>
        <w:tabs>
          <w:tab w:val="left" w:pos="0"/>
          <w:tab w:val="left" w:pos="840"/>
        </w:tabs>
        <w:kinsoku/>
        <w:wordWrap/>
        <w:topLinePunct w:val="0"/>
        <w:bidi w:val="0"/>
        <w:spacing w:line="560" w:lineRule="exact"/>
        <w:ind w:firstLine="640" w:firstLineChars="200"/>
        <w:textAlignment w:val="auto"/>
        <w:outlineLvl w:val="2"/>
        <w:rPr>
          <w:rFonts w:ascii="Times New Roman" w:hAnsi="Times New Roman" w:eastAsia="楷体_GB2312"/>
          <w:sz w:val="32"/>
          <w:szCs w:val="32"/>
        </w:rPr>
      </w:pPr>
      <w:bookmarkStart w:id="59" w:name="_Toc1601014432"/>
      <w:bookmarkStart w:id="60" w:name="_Toc2055031567"/>
      <w:bookmarkStart w:id="61" w:name="_Toc106659175"/>
      <w:bookmarkStart w:id="62" w:name="_Toc450228456"/>
      <w:bookmarkStart w:id="63" w:name="_Toc1843028773"/>
      <w:bookmarkStart w:id="64" w:name="_Toc1851646795"/>
      <w:bookmarkStart w:id="65" w:name="_Toc119068884"/>
      <w:bookmarkStart w:id="66" w:name="_Toc1004664927"/>
      <w:bookmarkStart w:id="67" w:name="_Toc1902295508"/>
      <w:r>
        <w:rPr>
          <w:rFonts w:ascii="Times New Roman" w:hAnsi="Times New Roman" w:eastAsia="楷体_GB2312"/>
          <w:sz w:val="32"/>
          <w:szCs w:val="32"/>
        </w:rPr>
        <w:t>（四）加强项目建设选址管理</w:t>
      </w:r>
      <w:bookmarkEnd w:id="59"/>
      <w:bookmarkEnd w:id="60"/>
      <w:r>
        <w:rPr>
          <w:rFonts w:ascii="Times New Roman" w:hAnsi="Times New Roman" w:eastAsia="楷体_GB2312"/>
          <w:sz w:val="32"/>
          <w:szCs w:val="32"/>
        </w:rPr>
        <w:t>，合理控制建设规模及成本</w:t>
      </w:r>
      <w:bookmarkEnd w:id="61"/>
      <w:bookmarkEnd w:id="62"/>
      <w:bookmarkEnd w:id="63"/>
      <w:bookmarkEnd w:id="64"/>
      <w:bookmarkEnd w:id="65"/>
      <w:bookmarkEnd w:id="66"/>
      <w:bookmarkEnd w:id="67"/>
    </w:p>
    <w:p>
      <w:pPr>
        <w:pageBreakBefore w:val="0"/>
        <w:kinsoku/>
        <w:wordWrap/>
        <w:topLinePunct w:val="0"/>
        <w:bidi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建议区文化广电旅游体育局加强建设项目的可行性研究等前期工作，从实际需求、选址布局、规模体量、资金需求、建设时序、用地属性等角度出发，审慎选址，合理规划设计，确定项目投入规模，在保证在满足群众需求的前提下，合理控制资金投入。此外，切实加强对建设资金的管理与监督，把加强资金管理与严格执行基本建设财务管理的各项制度、法规紧密结合起来，控制建设成本，确保资金使用效益。</w:t>
      </w:r>
    </w:p>
    <w:p>
      <w:pPr>
        <w:pStyle w:val="6"/>
        <w:pageBreakBefore w:val="0"/>
        <w:tabs>
          <w:tab w:val="left" w:pos="0"/>
          <w:tab w:val="left" w:pos="840"/>
        </w:tabs>
        <w:kinsoku/>
        <w:wordWrap/>
        <w:topLinePunct w:val="0"/>
        <w:bidi w:val="0"/>
        <w:spacing w:before="0" w:after="0" w:line="560" w:lineRule="exact"/>
        <w:ind w:firstLine="640" w:firstLineChars="200"/>
        <w:textAlignment w:val="auto"/>
        <w:rPr>
          <w:rFonts w:ascii="Times New Roman" w:hAnsi="Times New Roman" w:eastAsia="楷体_GB2312"/>
          <w:b w:val="0"/>
          <w:bCs w:val="0"/>
        </w:rPr>
      </w:pPr>
      <w:bookmarkStart w:id="68" w:name="_Toc1906031201"/>
      <w:bookmarkStart w:id="69" w:name="_Toc561250959"/>
      <w:bookmarkStart w:id="70" w:name="_Toc692768729"/>
      <w:bookmarkStart w:id="71" w:name="_Toc1796762574"/>
      <w:bookmarkStart w:id="72" w:name="_Toc106659177"/>
      <w:bookmarkStart w:id="73" w:name="_Toc611246061"/>
      <w:bookmarkStart w:id="74" w:name="_Toc119068885"/>
      <w:bookmarkStart w:id="75" w:name="_Toc1110250771"/>
      <w:bookmarkStart w:id="76" w:name="_Toc366291209"/>
      <w:r>
        <w:rPr>
          <w:rFonts w:ascii="Times New Roman" w:hAnsi="Times New Roman" w:eastAsia="楷体_GB2312"/>
          <w:b w:val="0"/>
          <w:bCs w:val="0"/>
        </w:rPr>
        <w:t>（五）</w:t>
      </w:r>
      <w:bookmarkEnd w:id="68"/>
      <w:r>
        <w:rPr>
          <w:rFonts w:ascii="Times New Roman" w:hAnsi="Times New Roman" w:eastAsia="楷体_GB2312"/>
          <w:b w:val="0"/>
          <w:bCs w:val="0"/>
        </w:rPr>
        <w:t>加大宣传力度，积极推动全民健身工作</w:t>
      </w:r>
      <w:bookmarkEnd w:id="69"/>
      <w:bookmarkEnd w:id="70"/>
      <w:bookmarkEnd w:id="71"/>
      <w:bookmarkEnd w:id="72"/>
      <w:bookmarkEnd w:id="73"/>
      <w:bookmarkEnd w:id="74"/>
      <w:bookmarkEnd w:id="75"/>
      <w:bookmarkEnd w:id="76"/>
    </w:p>
    <w:p>
      <w:pPr>
        <w:pageBreakBefore w:val="0"/>
        <w:kinsoku/>
        <w:wordWrap/>
        <w:topLinePunct w:val="0"/>
        <w:bidi w:val="0"/>
        <w:spacing w:line="560" w:lineRule="exact"/>
        <w:ind w:firstLine="640" w:firstLineChars="200"/>
        <w:textAlignment w:val="auto"/>
        <w:rPr>
          <w:rFonts w:ascii="Times New Roman" w:hAnsi="Times New Roman" w:eastAsia="仿宋_GB2312"/>
          <w:b/>
          <w:bCs/>
          <w:sz w:val="28"/>
          <w:szCs w:val="28"/>
        </w:rPr>
      </w:pPr>
      <w:r>
        <w:rPr>
          <w:rFonts w:ascii="Times New Roman" w:hAnsi="Times New Roman" w:eastAsia="仿宋_GB2312"/>
          <w:sz w:val="32"/>
          <w:szCs w:val="32"/>
        </w:rPr>
        <w:t>建议区文化广电旅游体育局进一步加大宣传力度，充分利用政府网站、媒体新闻、微信公众号以及户外宣传标识等形式，大力宣传公益金和全民健身的相关政策及其资助项目的实施成效，让群众对公益金和全民健身计划有更全面深入的了解。通过定期开展群众调查，建立意见反馈机制，发动群众参与全民健身体育项目的监督，推动形成更加明晰和完善的政府主导、部门协同、全社会共同参与的全民健身发展格局。</w:t>
      </w:r>
    </w:p>
    <w:sectPr>
      <w:footerReference r:id="rId3" w:type="default"/>
      <w:footerReference r:id="rId4" w:type="even"/>
      <w:pgSz w:w="11906" w:h="16838"/>
      <w:pgMar w:top="1701" w:right="1474" w:bottom="1701" w:left="1587"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S Sans Serif">
    <w:altName w:val="Arial Unicode MS"/>
    <w:panose1 w:val="020B0604020002020204"/>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posOffset>5149850</wp:posOffset>
              </wp:positionH>
              <wp:positionV relativeFrom="paragraph">
                <wp:posOffset>12065</wp:posOffset>
              </wp:positionV>
              <wp:extent cx="1828800" cy="1828800"/>
              <wp:effectExtent l="0" t="0" r="0" b="0"/>
              <wp:wrapNone/>
              <wp:docPr id="410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65 -</w:t>
                          </w:r>
                          <w:r>
                            <w:rPr>
                              <w:rFonts w:ascii="宋体" w:hAnsi="宋体" w:eastAsia="宋体"/>
                              <w:sz w:val="28"/>
                              <w:szCs w:val="28"/>
                            </w:rPr>
                            <w:fldChar w:fldCharType="end"/>
                          </w:r>
                        </w:p>
                      </w:txbxContent>
                    </wps:txbx>
                    <wps:bodyPr wrap="none" lIns="0" tIns="0" rIns="0" bIns="0">
                      <a:spAutoFit/>
                    </wps:bodyPr>
                  </wps:wsp>
                </a:graphicData>
              </a:graphic>
            </wp:anchor>
          </w:drawing>
        </mc:Choice>
        <mc:Fallback>
          <w:pict>
            <v:rect id="文本框 3" o:spid="_x0000_s1026" o:spt="1" style="position:absolute;left:0pt;margin-left:405.5pt;margin-top:0.95pt;height:144pt;width:144pt;mso-position-horizontal-relative:margin;mso-wrap-style:none;z-index:251659264;mso-width-relative:page;mso-height-relative:page;" filled="f" stroked="f" coordsize="21600,21600" o:gfxdata="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1ZPsB1QAAAAoBAAAPAAAAAAAAAAEAIAAAACIAAABkcnMvZG93bnJldi54bWxQSwECFAAU&#10;AAAACACHTuJAGy0e3rsBAAB7AwAADgAAAAAAAAABACAAAAAkAQAAZHJzL2Uyb0RvYy54bWxQSwUG&#10;AAAAAAYABgBZAQAAUQUAAAAA&#10;">
              <v:fill on="f" focussize="0,0"/>
              <v:stroke on="f"/>
              <v:imagedata o:title=""/>
              <o:lock v:ext="edit" aspectratio="f"/>
              <v:textbox inset="0mm,0mm,0mm,0mm" style="mso-fit-shape-to-text:t;">
                <w:txbxContent>
                  <w:p>
                    <w:pPr>
                      <w:pStyle w:val="14"/>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65 -</w:t>
                    </w:r>
                    <w:r>
                      <w:rPr>
                        <w:rFonts w:ascii="宋体" w:hAnsi="宋体" w:eastAsia="宋体"/>
                        <w:sz w:val="28"/>
                        <w:szCs w:val="28"/>
                      </w:rPr>
                      <w:fldChar w:fldCharType="end"/>
                    </w:r>
                  </w:p>
                </w:txbxContent>
              </v:textbox>
            </v:rect>
          </w:pict>
        </mc:Fallback>
      </mc:AlternateConten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sz w:val="28"/>
        <w:szCs w:val="28"/>
      </w:rPr>
    </w:pPr>
    <w:r>
      <w:rPr>
        <w:sz w:val="28"/>
      </w:rPr>
      <mc:AlternateContent>
        <mc:Choice Requires="wps">
          <w:drawing>
            <wp:anchor distT="0" distB="0" distL="0" distR="0" simplePos="0" relativeHeight="251659264" behindDoc="0" locked="0" layoutInCell="1" allowOverlap="1">
              <wp:simplePos x="0" y="0"/>
              <wp:positionH relativeFrom="margin">
                <wp:posOffset>0</wp:posOffset>
              </wp:positionH>
              <wp:positionV relativeFrom="paragraph">
                <wp:posOffset>6350</wp:posOffset>
              </wp:positionV>
              <wp:extent cx="1828800" cy="254000"/>
              <wp:effectExtent l="0" t="0" r="12065" b="12700"/>
              <wp:wrapNone/>
              <wp:docPr id="4099" name="文本框 4"/>
              <wp:cNvGraphicFramePr/>
              <a:graphic xmlns:a="http://schemas.openxmlformats.org/drawingml/2006/main">
                <a:graphicData uri="http://schemas.microsoft.com/office/word/2010/wordprocessingShape">
                  <wps:wsp>
                    <wps:cNvSpPr/>
                    <wps:spPr>
                      <a:xfrm>
                        <a:off x="0" y="0"/>
                        <a:ext cx="1828800" cy="254000"/>
                      </a:xfrm>
                      <a:prstGeom prst="rect">
                        <a:avLst/>
                      </a:prstGeom>
                      <a:ln>
                        <a:noFill/>
                      </a:ln>
                    </wps:spPr>
                    <wps:txbx>
                      <w:txbxContent>
                        <w:p>
                          <w:pPr>
                            <w:pStyle w:val="14"/>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64 -</w:t>
                          </w:r>
                          <w:r>
                            <w:rPr>
                              <w:rFonts w:ascii="宋体" w:hAnsi="宋体" w:eastAsia="宋体"/>
                              <w:sz w:val="28"/>
                              <w:szCs w:val="28"/>
                            </w:rPr>
                            <w:fldChar w:fldCharType="end"/>
                          </w:r>
                        </w:p>
                      </w:txbxContent>
                    </wps:txbx>
                    <wps:bodyPr wrap="none" lIns="0" tIns="0" rIns="0" bIns="0">
                      <a:noAutofit/>
                    </wps:bodyPr>
                  </wps:wsp>
                </a:graphicData>
              </a:graphic>
            </wp:anchor>
          </w:drawing>
        </mc:Choice>
        <mc:Fallback>
          <w:pict>
            <v:rect id="文本框 4" o:spid="_x0000_s1026" o:spt="1" style="position:absolute;left:0pt;margin-left:0pt;margin-top:0.5pt;height:20pt;width:144pt;mso-position-horizontal-relative:margin;mso-wrap-style:none;z-index:251659264;mso-width-relative:page;mso-height-relative:page;" filled="f" stroked="f" coordsize="21600,21600" o:gfxdata="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VuILnTAAAABQEAAA8AAAAAAAAAAQAgAAAAIgAAAGRycy9kb3ducmV2LnhtbFBLAQIU&#10;ABQAAAAIAIdO4kCh9NgYvwEAAHoDAAAOAAAAAAAAAAEAIAAAACIBAABkcnMvZTJvRG9jLnhtbFBL&#10;BQYAAAAABgAGAFkBAABTBQAAAAA=&#10;">
              <v:fill on="f" focussize="0,0"/>
              <v:stroke on="f"/>
              <v:imagedata o:title=""/>
              <o:lock v:ext="edit" aspectratio="f"/>
              <v:textbox inset="0mm,0mm,0mm,0mm">
                <w:txbxContent>
                  <w:p>
                    <w:pPr>
                      <w:pStyle w:val="14"/>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64 -</w:t>
                    </w:r>
                    <w:r>
                      <w:rPr>
                        <w:rFonts w:ascii="宋体" w:hAnsi="宋体" w:eastAsia="宋体"/>
                        <w:sz w:val="28"/>
                        <w:szCs w:val="28"/>
                      </w:rPr>
                      <w:fldChar w:fldCharType="end"/>
                    </w:r>
                  </w:p>
                </w:txbxContent>
              </v:textbox>
            </v:rect>
          </w:pict>
        </mc:Fallback>
      </mc:AlternateContent>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19"/>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NWIzOTRiM2Q3OWMwMWUwZDEwMDVhOWYxOWUyNjEifQ=="/>
  </w:docVars>
  <w:rsids>
    <w:rsidRoot w:val="00000000"/>
    <w:rsid w:val="086928FE"/>
    <w:rsid w:val="0EBB0A95"/>
    <w:rsid w:val="1984553C"/>
    <w:rsid w:val="1CA61983"/>
    <w:rsid w:val="1CE51886"/>
    <w:rsid w:val="1DD4413B"/>
    <w:rsid w:val="1E6B6C46"/>
    <w:rsid w:val="29CA3CB9"/>
    <w:rsid w:val="2BB11361"/>
    <w:rsid w:val="2EC80574"/>
    <w:rsid w:val="30095B5A"/>
    <w:rsid w:val="300F7C4E"/>
    <w:rsid w:val="3AD55F88"/>
    <w:rsid w:val="3AFFE1ED"/>
    <w:rsid w:val="3D2D8DD1"/>
    <w:rsid w:val="43AF025D"/>
    <w:rsid w:val="43B7E5A3"/>
    <w:rsid w:val="471B5B6A"/>
    <w:rsid w:val="56762828"/>
    <w:rsid w:val="56FA2462"/>
    <w:rsid w:val="5753F4BD"/>
    <w:rsid w:val="5F175E04"/>
    <w:rsid w:val="6BF8CEA2"/>
    <w:rsid w:val="6E3FFEB8"/>
    <w:rsid w:val="6F673FD8"/>
    <w:rsid w:val="6F75E809"/>
    <w:rsid w:val="74AF5E45"/>
    <w:rsid w:val="75760AEA"/>
    <w:rsid w:val="7BFDCAEB"/>
    <w:rsid w:val="7CDFBA81"/>
    <w:rsid w:val="7FE3202D"/>
    <w:rsid w:val="7FECE807"/>
    <w:rsid w:val="B5774D6C"/>
    <w:rsid w:val="BBEFB68F"/>
    <w:rsid w:val="BFE96A0D"/>
    <w:rsid w:val="DBB77479"/>
    <w:rsid w:val="F6A68BD3"/>
    <w:rsid w:val="F9F8EBAA"/>
    <w:rsid w:val="FAB8C2F9"/>
    <w:rsid w:val="FB788044"/>
    <w:rsid w:val="FBDFB7D7"/>
    <w:rsid w:val="FD7DABA6"/>
    <w:rsid w:val="FD9FE1B1"/>
    <w:rsid w:val="FF5EA75F"/>
    <w:rsid w:val="FF8561B1"/>
    <w:rsid w:val="FFF6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4"/>
    <w:next w:val="4"/>
    <w:link w:val="2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semiHidden/>
    <w:unhideWhenUsed/>
    <w:qFormat/>
    <w:uiPriority w:val="9"/>
    <w:pPr>
      <w:keepNext/>
      <w:keepLines/>
      <w:adjustRightInd w:val="0"/>
      <w:spacing w:before="280" w:after="290" w:line="377" w:lineRule="auto"/>
      <w:ind w:firstLine="200" w:firstLineChars="200"/>
      <w:outlineLvl w:val="3"/>
    </w:pPr>
    <w:rPr>
      <w:rFonts w:ascii="Cambria" w:hAnsi="Cambria" w:eastAsia="仿宋_GB2312"/>
      <w:b/>
      <w:bCs/>
      <w:kern w:val="0"/>
      <w:sz w:val="32"/>
      <w:szCs w:val="28"/>
    </w:rPr>
  </w:style>
  <w:style w:type="paragraph" w:styleId="8">
    <w:name w:val="heading 9"/>
    <w:basedOn w:val="1"/>
    <w:next w:val="1"/>
    <w:link w:val="31"/>
    <w:semiHidden/>
    <w:unhideWhenUsed/>
    <w:qFormat/>
    <w:uiPriority w:val="9"/>
    <w:pPr>
      <w:keepNext/>
      <w:keepLines/>
      <w:spacing w:before="240" w:after="64" w:line="320" w:lineRule="auto"/>
      <w:outlineLvl w:val="8"/>
    </w:pPr>
    <w:rPr>
      <w:rFonts w:ascii="等线 Light" w:hAnsi="等线 Light" w:eastAsia="等线 Light"/>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7"/>
    <w:semiHidden/>
    <w:unhideWhenUsed/>
    <w:qFormat/>
    <w:uiPriority w:val="99"/>
    <w:pPr>
      <w:spacing w:after="120"/>
    </w:pPr>
    <w:rPr>
      <w:rFonts w:ascii="Calibri" w:hAnsi="Calibri" w:eastAsia="宋体" w:cs="宋体"/>
    </w:rPr>
  </w:style>
  <w:style w:type="paragraph" w:customStyle="1" w:styleId="4">
    <w:name w:val="星耀正文"/>
    <w:basedOn w:val="1"/>
    <w:qFormat/>
    <w:uiPriority w:val="3"/>
    <w:pPr>
      <w:spacing w:line="560" w:lineRule="exact"/>
      <w:ind w:firstLine="200" w:firstLineChars="200"/>
    </w:pPr>
    <w:rPr>
      <w:rFonts w:ascii="Times New Roman" w:hAnsi="Times New Roman" w:eastAsia="仿宋_GB2312"/>
      <w:kern w:val="0"/>
      <w:sz w:val="32"/>
      <w:szCs w:val="28"/>
      <w:lang w:val="zh-CN"/>
    </w:rPr>
  </w:style>
  <w:style w:type="paragraph" w:styleId="9">
    <w:name w:val="annotation text"/>
    <w:basedOn w:val="1"/>
    <w:link w:val="32"/>
    <w:semiHidden/>
    <w:unhideWhenUsed/>
    <w:qFormat/>
    <w:uiPriority w:val="99"/>
    <w:pPr>
      <w:jc w:val="left"/>
    </w:pPr>
  </w:style>
  <w:style w:type="paragraph" w:styleId="10">
    <w:name w:val="Block Text"/>
    <w:basedOn w:val="1"/>
    <w:semiHidden/>
    <w:unhideWhenUsed/>
    <w:qFormat/>
    <w:uiPriority w:val="99"/>
    <w:pPr>
      <w:adjustRightInd w:val="0"/>
      <w:snapToGrid w:val="0"/>
      <w:spacing w:after="120" w:line="560" w:lineRule="exact"/>
      <w:ind w:left="1440" w:leftChars="700" w:right="1440" w:rightChars="700" w:firstLine="200" w:firstLineChars="200"/>
    </w:pPr>
    <w:rPr>
      <w:rFonts w:ascii="Times New Roman" w:hAnsi="Times New Roman" w:eastAsia="仿宋_GB2312"/>
      <w:sz w:val="32"/>
    </w:rPr>
  </w:style>
  <w:style w:type="paragraph" w:styleId="11">
    <w:name w:val="toc 3"/>
    <w:basedOn w:val="1"/>
    <w:next w:val="1"/>
    <w:semiHidden/>
    <w:unhideWhenUsed/>
    <w:qFormat/>
    <w:uiPriority w:val="39"/>
    <w:pPr>
      <w:widowControl/>
      <w:spacing w:after="100" w:line="259" w:lineRule="auto"/>
      <w:ind w:left="440"/>
      <w:jc w:val="left"/>
    </w:pPr>
    <w:rPr>
      <w:kern w:val="0"/>
      <w:sz w:val="22"/>
    </w:r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65"/>
    <w:semiHidden/>
    <w:unhideWhenUsed/>
    <w:qFormat/>
    <w:uiPriority w:val="99"/>
    <w:rPr>
      <w:sz w:val="18"/>
      <w:szCs w:val="18"/>
    </w:rPr>
  </w:style>
  <w:style w:type="paragraph" w:styleId="14">
    <w:name w:val="footer"/>
    <w:basedOn w:val="1"/>
    <w:link w:val="35"/>
    <w:semiHidden/>
    <w:unhideWhenUsed/>
    <w:qFormat/>
    <w:uiPriority w:val="99"/>
    <w:pPr>
      <w:tabs>
        <w:tab w:val="center" w:pos="4153"/>
        <w:tab w:val="right" w:pos="8306"/>
      </w:tabs>
      <w:snapToGrid w:val="0"/>
      <w:jc w:val="left"/>
    </w:pPr>
    <w:rPr>
      <w:sz w:val="18"/>
      <w:szCs w:val="18"/>
    </w:rPr>
  </w:style>
  <w:style w:type="paragraph" w:styleId="15">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nhideWhenUsed/>
    <w:qFormat/>
    <w:uiPriority w:val="39"/>
    <w:pPr>
      <w:widowControl/>
      <w:spacing w:after="100" w:line="259" w:lineRule="auto"/>
      <w:jc w:val="left"/>
    </w:pPr>
    <w:rPr>
      <w:kern w:val="0"/>
      <w:sz w:val="22"/>
    </w:rPr>
  </w:style>
  <w:style w:type="paragraph" w:styleId="17">
    <w:name w:val="footnote text"/>
    <w:basedOn w:val="1"/>
    <w:link w:val="37"/>
    <w:semiHidden/>
    <w:unhideWhenUsed/>
    <w:qFormat/>
    <w:uiPriority w:val="99"/>
    <w:pPr>
      <w:snapToGrid w:val="0"/>
      <w:jc w:val="left"/>
    </w:pPr>
    <w:rPr>
      <w:sz w:val="18"/>
      <w:szCs w:val="18"/>
    </w:rPr>
  </w:style>
  <w:style w:type="paragraph" w:styleId="18">
    <w:name w:val="toc 2"/>
    <w:basedOn w:val="1"/>
    <w:next w:val="1"/>
    <w:semiHidden/>
    <w:unhideWhenUsed/>
    <w:qFormat/>
    <w:uiPriority w:val="39"/>
    <w:pPr>
      <w:widowControl/>
      <w:spacing w:after="100" w:line="259" w:lineRule="auto"/>
      <w:ind w:left="220"/>
      <w:jc w:val="left"/>
    </w:pPr>
    <w:rPr>
      <w:kern w:val="0"/>
      <w:sz w:val="22"/>
    </w:rPr>
  </w:style>
  <w:style w:type="paragraph" w:styleId="1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38"/>
    <w:qFormat/>
    <w:uiPriority w:val="10"/>
    <w:pPr>
      <w:spacing w:before="240" w:after="60"/>
      <w:jc w:val="center"/>
      <w:outlineLvl w:val="0"/>
    </w:pPr>
    <w:rPr>
      <w:rFonts w:ascii="Cambria" w:hAnsi="Cambria"/>
      <w:b/>
      <w:bCs/>
      <w:sz w:val="32"/>
      <w:szCs w:val="32"/>
    </w:rPr>
  </w:style>
  <w:style w:type="paragraph" w:styleId="21">
    <w:name w:val="annotation subject"/>
    <w:basedOn w:val="9"/>
    <w:next w:val="9"/>
    <w:link w:val="39"/>
    <w:semiHidden/>
    <w:unhideWhenUsed/>
    <w:qFormat/>
    <w:uiPriority w:val="99"/>
    <w:rPr>
      <w:b/>
      <w:bCs/>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Hyperlink"/>
    <w:semiHidden/>
    <w:unhideWhenUsed/>
    <w:qFormat/>
    <w:uiPriority w:val="99"/>
    <w:rPr>
      <w:color w:val="0563C1"/>
      <w:u w:val="single"/>
    </w:rPr>
  </w:style>
  <w:style w:type="character" w:styleId="26">
    <w:name w:val="annotation reference"/>
    <w:semiHidden/>
    <w:unhideWhenUsed/>
    <w:qFormat/>
    <w:uiPriority w:val="99"/>
    <w:rPr>
      <w:sz w:val="21"/>
      <w:szCs w:val="21"/>
    </w:rPr>
  </w:style>
  <w:style w:type="character" w:styleId="27">
    <w:name w:val="footnote reference"/>
    <w:semiHidden/>
    <w:unhideWhenUsed/>
    <w:qFormat/>
    <w:uiPriority w:val="99"/>
    <w:rPr>
      <w:vertAlign w:val="superscript"/>
    </w:rPr>
  </w:style>
  <w:style w:type="character" w:customStyle="1" w:styleId="28">
    <w:name w:val="标题 1 字符"/>
    <w:link w:val="3"/>
    <w:qFormat/>
    <w:uiPriority w:val="9"/>
    <w:rPr>
      <w:b/>
      <w:bCs/>
      <w:kern w:val="44"/>
      <w:sz w:val="44"/>
      <w:szCs w:val="44"/>
    </w:rPr>
  </w:style>
  <w:style w:type="character" w:customStyle="1" w:styleId="29">
    <w:name w:val="标题 2 字符"/>
    <w:link w:val="5"/>
    <w:qFormat/>
    <w:uiPriority w:val="0"/>
    <w:rPr>
      <w:rFonts w:ascii="Arial" w:hAnsi="Arial" w:eastAsia="黑体" w:cs="Times New Roman"/>
      <w:b/>
      <w:bCs/>
      <w:sz w:val="32"/>
      <w:szCs w:val="32"/>
    </w:rPr>
  </w:style>
  <w:style w:type="character" w:customStyle="1" w:styleId="30">
    <w:name w:val="标题 3 字符"/>
    <w:link w:val="6"/>
    <w:qFormat/>
    <w:uiPriority w:val="9"/>
    <w:rPr>
      <w:b/>
      <w:bCs/>
      <w:sz w:val="32"/>
      <w:szCs w:val="32"/>
    </w:rPr>
  </w:style>
  <w:style w:type="character" w:customStyle="1" w:styleId="31">
    <w:name w:val="标题 9 字符"/>
    <w:link w:val="8"/>
    <w:qFormat/>
    <w:uiPriority w:val="9"/>
    <w:rPr>
      <w:rFonts w:ascii="等线 Light" w:hAnsi="等线 Light" w:eastAsia="等线 Light" w:cs="Times New Roman"/>
      <w:kern w:val="2"/>
      <w:sz w:val="21"/>
      <w:szCs w:val="21"/>
    </w:rPr>
  </w:style>
  <w:style w:type="character" w:customStyle="1" w:styleId="32">
    <w:name w:val="批注文字 字符"/>
    <w:link w:val="9"/>
    <w:qFormat/>
    <w:uiPriority w:val="99"/>
    <w:rPr>
      <w:rFonts w:ascii="等线" w:hAnsi="等线" w:eastAsia="等线" w:cs="Times New Roman"/>
      <w:kern w:val="2"/>
      <w:sz w:val="21"/>
      <w:szCs w:val="22"/>
    </w:rPr>
  </w:style>
  <w:style w:type="character" w:customStyle="1" w:styleId="33">
    <w:name w:val="日期 字符"/>
    <w:link w:val="12"/>
    <w:qFormat/>
    <w:uiPriority w:val="99"/>
    <w:rPr>
      <w:rFonts w:ascii="等线" w:hAnsi="等线" w:eastAsia="等线"/>
      <w:kern w:val="2"/>
      <w:sz w:val="21"/>
      <w:szCs w:val="22"/>
    </w:rPr>
  </w:style>
  <w:style w:type="character" w:customStyle="1" w:styleId="34">
    <w:name w:val="批注框文本 字符"/>
    <w:link w:val="13"/>
    <w:qFormat/>
    <w:uiPriority w:val="99"/>
    <w:rPr>
      <w:rFonts w:ascii="等线" w:hAnsi="等线" w:eastAsia="等线" w:cs="Times New Roman"/>
      <w:kern w:val="2"/>
      <w:sz w:val="18"/>
      <w:szCs w:val="18"/>
    </w:rPr>
  </w:style>
  <w:style w:type="character" w:customStyle="1" w:styleId="35">
    <w:name w:val="页脚 字符"/>
    <w:link w:val="14"/>
    <w:qFormat/>
    <w:uiPriority w:val="99"/>
    <w:rPr>
      <w:sz w:val="18"/>
      <w:szCs w:val="18"/>
    </w:rPr>
  </w:style>
  <w:style w:type="character" w:customStyle="1" w:styleId="36">
    <w:name w:val="页眉 字符"/>
    <w:link w:val="15"/>
    <w:qFormat/>
    <w:uiPriority w:val="99"/>
    <w:rPr>
      <w:sz w:val="18"/>
      <w:szCs w:val="18"/>
    </w:rPr>
  </w:style>
  <w:style w:type="character" w:customStyle="1" w:styleId="37">
    <w:name w:val="脚注文本 字符"/>
    <w:link w:val="17"/>
    <w:qFormat/>
    <w:uiPriority w:val="99"/>
    <w:rPr>
      <w:rFonts w:ascii="等线" w:hAnsi="等线" w:eastAsia="等线"/>
      <w:kern w:val="2"/>
      <w:sz w:val="18"/>
      <w:szCs w:val="18"/>
    </w:rPr>
  </w:style>
  <w:style w:type="character" w:customStyle="1" w:styleId="38">
    <w:name w:val="标题 字符"/>
    <w:link w:val="20"/>
    <w:qFormat/>
    <w:uiPriority w:val="0"/>
    <w:rPr>
      <w:rFonts w:ascii="Cambria" w:hAnsi="Cambria" w:cs="Times New Roman"/>
      <w:b/>
      <w:bCs/>
      <w:sz w:val="32"/>
      <w:szCs w:val="32"/>
    </w:rPr>
  </w:style>
  <w:style w:type="character" w:customStyle="1" w:styleId="39">
    <w:name w:val="批注主题 字符"/>
    <w:link w:val="21"/>
    <w:qFormat/>
    <w:uiPriority w:val="99"/>
    <w:rPr>
      <w:rFonts w:ascii="等线" w:hAnsi="等线" w:eastAsia="等线" w:cs="Times New Roman"/>
      <w:b/>
      <w:bCs/>
      <w:kern w:val="2"/>
      <w:sz w:val="21"/>
      <w:szCs w:val="22"/>
    </w:rPr>
  </w:style>
  <w:style w:type="character" w:customStyle="1" w:styleId="40">
    <w:name w:val="font91"/>
    <w:qFormat/>
    <w:uiPriority w:val="0"/>
    <w:rPr>
      <w:rFonts w:hint="default" w:ascii="Arial" w:hAnsi="Arial" w:cs="Arial"/>
      <w:color w:val="000000"/>
      <w:sz w:val="22"/>
      <w:szCs w:val="22"/>
      <w:u w:val="none"/>
    </w:rPr>
  </w:style>
  <w:style w:type="character" w:customStyle="1" w:styleId="41">
    <w:name w:val="font21"/>
    <w:qFormat/>
    <w:uiPriority w:val="0"/>
    <w:rPr>
      <w:rFonts w:hint="default" w:ascii="MS Sans Serif" w:hAnsi="MS Sans Serif"/>
      <w:color w:val="000000"/>
      <w:sz w:val="22"/>
      <w:szCs w:val="22"/>
      <w:u w:val="none"/>
    </w:rPr>
  </w:style>
  <w:style w:type="character" w:customStyle="1" w:styleId="42">
    <w:name w:val="font01"/>
    <w:qFormat/>
    <w:uiPriority w:val="0"/>
    <w:rPr>
      <w:rFonts w:hint="eastAsia" w:ascii="宋体" w:hAnsi="宋体" w:eastAsia="宋体"/>
      <w:color w:val="000000"/>
      <w:sz w:val="20"/>
      <w:szCs w:val="20"/>
      <w:u w:val="none"/>
    </w:rPr>
  </w:style>
  <w:style w:type="character" w:customStyle="1" w:styleId="43">
    <w:name w:val="font101"/>
    <w:qFormat/>
    <w:uiPriority w:val="0"/>
    <w:rPr>
      <w:rFonts w:hint="eastAsia" w:ascii="宋体" w:hAnsi="宋体" w:eastAsia="宋体"/>
      <w:color w:val="000000"/>
      <w:sz w:val="18"/>
      <w:szCs w:val="18"/>
      <w:u w:val="none"/>
    </w:rPr>
  </w:style>
  <w:style w:type="character" w:customStyle="1" w:styleId="44">
    <w:name w:val="font61"/>
    <w:qFormat/>
    <w:uiPriority w:val="0"/>
    <w:rPr>
      <w:rFonts w:hint="eastAsia" w:ascii="宋体" w:hAnsi="宋体" w:eastAsia="宋体"/>
      <w:color w:val="000000"/>
      <w:sz w:val="20"/>
      <w:szCs w:val="20"/>
      <w:u w:val="none"/>
    </w:rPr>
  </w:style>
  <w:style w:type="character" w:customStyle="1" w:styleId="45">
    <w:name w:val="闻政正文 Char"/>
    <w:link w:val="46"/>
    <w:qFormat/>
    <w:uiPriority w:val="0"/>
    <w:rPr>
      <w:rFonts w:eastAsia="仿宋_GB2312"/>
      <w:sz w:val="32"/>
      <w:szCs w:val="28"/>
      <w:lang w:val="zh-CN"/>
    </w:rPr>
  </w:style>
  <w:style w:type="paragraph" w:customStyle="1" w:styleId="46">
    <w:name w:val="闻政正文"/>
    <w:basedOn w:val="1"/>
    <w:link w:val="45"/>
    <w:qFormat/>
    <w:uiPriority w:val="0"/>
    <w:pPr>
      <w:snapToGrid w:val="0"/>
      <w:spacing w:line="560" w:lineRule="exact"/>
      <w:ind w:firstLine="200" w:firstLineChars="200"/>
    </w:pPr>
    <w:rPr>
      <w:rFonts w:ascii="Times New Roman" w:hAnsi="Times New Roman" w:eastAsia="仿宋_GB2312"/>
      <w:kern w:val="0"/>
      <w:sz w:val="32"/>
      <w:szCs w:val="28"/>
      <w:lang w:val="zh-CN"/>
    </w:rPr>
  </w:style>
  <w:style w:type="character" w:customStyle="1" w:styleId="47">
    <w:name w:val="font111"/>
    <w:qFormat/>
    <w:uiPriority w:val="0"/>
    <w:rPr>
      <w:rFonts w:hint="eastAsia" w:ascii="宋体" w:hAnsi="宋体" w:eastAsia="宋体"/>
      <w:color w:val="000000"/>
      <w:sz w:val="22"/>
      <w:szCs w:val="22"/>
      <w:u w:val="none"/>
    </w:rPr>
  </w:style>
  <w:style w:type="paragraph" w:customStyle="1" w:styleId="48">
    <w:name w:val="_Style 44"/>
    <w:qFormat/>
    <w:uiPriority w:val="99"/>
    <w:rPr>
      <w:rFonts w:ascii="等线" w:hAnsi="等线" w:eastAsia="等线" w:cs="Times New Roman"/>
      <w:kern w:val="2"/>
      <w:sz w:val="21"/>
      <w:szCs w:val="22"/>
      <w:lang w:val="en-US" w:eastAsia="zh-CN" w:bidi="ar-SA"/>
    </w:rPr>
  </w:style>
  <w:style w:type="paragraph" w:customStyle="1" w:styleId="49">
    <w:name w:val="_Style 45"/>
    <w:basedOn w:val="3"/>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5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W"/>
    <w:basedOn w:val="1"/>
    <w:qFormat/>
    <w:uiPriority w:val="0"/>
    <w:pPr>
      <w:spacing w:line="360" w:lineRule="auto"/>
      <w:ind w:firstLine="200" w:firstLineChars="200"/>
    </w:pPr>
    <w:rPr>
      <w:rFonts w:ascii="仿宋_GB2312" w:hAnsi="仿宋" w:eastAsia="仿宋_GB2312"/>
      <w:sz w:val="32"/>
      <w:szCs w:val="32"/>
    </w:rPr>
  </w:style>
  <w:style w:type="paragraph" w:customStyle="1" w:styleId="52">
    <w:name w:val="公文三级标题"/>
    <w:basedOn w:val="6"/>
    <w:qFormat/>
    <w:uiPriority w:val="0"/>
    <w:pPr>
      <w:spacing w:before="0" w:after="240" w:line="560" w:lineRule="exact"/>
      <w:ind w:firstLine="643"/>
    </w:pPr>
    <w:rPr>
      <w:rFonts w:ascii="Times New Roman" w:hAnsi="Times New Roman" w:eastAsia="仿宋_GB2312"/>
      <w:bCs w:val="0"/>
      <w:sz w:val="30"/>
      <w:szCs w:val="24"/>
    </w:rPr>
  </w:style>
  <w:style w:type="paragraph" w:styleId="53">
    <w:name w:val="List Paragraph"/>
    <w:basedOn w:val="1"/>
    <w:qFormat/>
    <w:uiPriority w:val="34"/>
    <w:pPr>
      <w:ind w:firstLine="420" w:firstLineChars="200"/>
    </w:pPr>
  </w:style>
  <w:style w:type="character" w:customStyle="1" w:styleId="54">
    <w:name w:val="font51"/>
    <w:qFormat/>
    <w:uiPriority w:val="0"/>
    <w:rPr>
      <w:rFonts w:ascii="仿宋_GB2312" w:eastAsia="仿宋_GB2312" w:cs="仿宋_GB2312"/>
      <w:b/>
      <w:bCs/>
      <w:color w:val="000000"/>
      <w:sz w:val="36"/>
      <w:szCs w:val="36"/>
      <w:u w:val="none"/>
    </w:rPr>
  </w:style>
  <w:style w:type="character" w:customStyle="1" w:styleId="55">
    <w:name w:val="font11"/>
    <w:qFormat/>
    <w:uiPriority w:val="0"/>
    <w:rPr>
      <w:rFonts w:hint="default" w:ascii="仿宋_GB2312" w:eastAsia="仿宋_GB2312" w:cs="仿宋_GB2312"/>
      <w:color w:val="000000"/>
      <w:sz w:val="22"/>
      <w:szCs w:val="22"/>
      <w:u w:val="none"/>
    </w:rPr>
  </w:style>
  <w:style w:type="paragraph" w:customStyle="1" w:styleId="56">
    <w:name w:val="修订1"/>
    <w:qFormat/>
    <w:uiPriority w:val="99"/>
    <w:rPr>
      <w:rFonts w:ascii="等线" w:hAnsi="等线" w:eastAsia="等线" w:cs="Times New Roman"/>
      <w:kern w:val="2"/>
      <w:sz w:val="21"/>
      <w:szCs w:val="22"/>
      <w:lang w:val="en-US" w:eastAsia="zh-CN" w:bidi="ar-SA"/>
    </w:rPr>
  </w:style>
  <w:style w:type="character" w:customStyle="1" w:styleId="57">
    <w:name w:val="正文文本 字符"/>
    <w:basedOn w:val="24"/>
    <w:link w:val="2"/>
    <w:qFormat/>
    <w:uiPriority w:val="1"/>
    <w:rPr>
      <w:rFonts w:ascii="Calibri" w:hAnsi="Calibri" w:eastAsia="宋体" w:cs="宋体"/>
      <w:kern w:val="2"/>
      <w:sz w:val="21"/>
      <w:szCs w:val="22"/>
    </w:rPr>
  </w:style>
  <w:style w:type="character" w:customStyle="1" w:styleId="58">
    <w:name w:val="GH-正文 Char"/>
    <w:link w:val="59"/>
    <w:qFormat/>
    <w:uiPriority w:val="0"/>
    <w:rPr>
      <w:rFonts w:eastAsia="仿宋_GB2312"/>
      <w:sz w:val="32"/>
      <w:szCs w:val="32"/>
    </w:rPr>
  </w:style>
  <w:style w:type="paragraph" w:customStyle="1" w:styleId="59">
    <w:name w:val="GH-正文"/>
    <w:basedOn w:val="1"/>
    <w:link w:val="58"/>
    <w:qFormat/>
    <w:uiPriority w:val="0"/>
    <w:pPr>
      <w:spacing w:line="574" w:lineRule="exact"/>
      <w:ind w:firstLine="640" w:firstLineChars="200"/>
    </w:pPr>
    <w:rPr>
      <w:rFonts w:ascii="Times New Roman" w:hAnsi="Times New Roman" w:eastAsia="仿宋_GB2312"/>
      <w:kern w:val="0"/>
      <w:sz w:val="32"/>
      <w:szCs w:val="32"/>
    </w:rPr>
  </w:style>
  <w:style w:type="paragraph" w:customStyle="1" w:styleId="60">
    <w:name w:val="正文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1">
    <w:name w:val="修订2"/>
    <w:qFormat/>
    <w:uiPriority w:val="99"/>
    <w:rPr>
      <w:rFonts w:ascii="等线" w:hAnsi="等线" w:eastAsia="等线" w:cs="Times New Roman"/>
      <w:kern w:val="2"/>
      <w:sz w:val="21"/>
      <w:szCs w:val="22"/>
      <w:lang w:val="en-US" w:eastAsia="zh-CN" w:bidi="ar-SA"/>
    </w:rPr>
  </w:style>
  <w:style w:type="paragraph" w:customStyle="1" w:styleId="62">
    <w:name w:val="修订3"/>
    <w:qFormat/>
    <w:uiPriority w:val="99"/>
    <w:rPr>
      <w:rFonts w:ascii="等线" w:hAnsi="等线" w:eastAsia="等线" w:cs="Times New Roman"/>
      <w:kern w:val="2"/>
      <w:sz w:val="21"/>
      <w:szCs w:val="22"/>
      <w:lang w:val="en-US" w:eastAsia="zh-CN" w:bidi="ar-SA"/>
    </w:rPr>
  </w:style>
  <w:style w:type="paragraph" w:customStyle="1" w:styleId="63">
    <w:name w:val="修订4"/>
    <w:qFormat/>
    <w:uiPriority w:val="99"/>
    <w:rPr>
      <w:rFonts w:ascii="等线" w:hAnsi="等线" w:eastAsia="等线" w:cs="Times New Roman"/>
      <w:kern w:val="2"/>
      <w:sz w:val="21"/>
      <w:szCs w:val="22"/>
      <w:lang w:val="en-US" w:eastAsia="zh-CN" w:bidi="ar-SA"/>
    </w:rPr>
  </w:style>
  <w:style w:type="paragraph" w:customStyle="1" w:styleId="64">
    <w:name w:val="Revision_c04bffa9-dac9-4a70-a484-93519c6ccace"/>
    <w:qFormat/>
    <w:uiPriority w:val="99"/>
    <w:rPr>
      <w:rFonts w:ascii="等线" w:hAnsi="等线" w:eastAsia="等线" w:cs="Times New Roman"/>
      <w:kern w:val="2"/>
      <w:sz w:val="21"/>
      <w:szCs w:val="22"/>
      <w:lang w:val="en-US" w:eastAsia="zh-CN" w:bidi="ar-SA"/>
    </w:rPr>
  </w:style>
  <w:style w:type="character" w:customStyle="1" w:styleId="65">
    <w:name w:val="批注框文本 Char"/>
    <w:basedOn w:val="24"/>
    <w:link w:val="13"/>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5141</Words>
  <Characters>5277</Characters>
  <Lines>1</Lines>
  <Paragraphs>1</Paragraphs>
  <TotalTime>1</TotalTime>
  <ScaleCrop>false</ScaleCrop>
  <LinksUpToDate>false</LinksUpToDate>
  <CharactersWithSpaces>5280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2016-08-01T06:32:00Z</dcterms:created>
  <dc:creator>移动收发文</dc:creator>
  <cp:lastModifiedBy>库纳</cp:lastModifiedBy>
  <cp:lastPrinted>2022-11-27T04:50:00Z</cp:lastPrinted>
  <dcterms:modified xsi:type="dcterms:W3CDTF">2022-12-15T07:28:21Z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C524663C4A117FEFF4D87A63F00999BC</vt:lpwstr>
  </property>
</Properties>
</file>