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Spec="center" w:tblpY="228"/>
        <w:tblOverlap w:val="never"/>
        <w:tblW w:w="9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4"/>
        <w:gridCol w:w="1125"/>
        <w:gridCol w:w="1211"/>
        <w:gridCol w:w="1781"/>
        <w:gridCol w:w="4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2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r>
              <w:rPr>
                <w:rFonts w:hint="eastAsia" w:ascii="宋体" w:hAnsi="宋体" w:eastAsia="宋体" w:cs="宋体"/>
                <w:b/>
                <w:bCs/>
                <w:i w:val="0"/>
                <w:iCs w:val="0"/>
                <w:color w:val="000000"/>
                <w:kern w:val="0"/>
                <w:sz w:val="40"/>
                <w:szCs w:val="40"/>
                <w:u w:val="none"/>
                <w:lang w:val="en-US" w:eastAsia="zh-CN" w:bidi="ar"/>
              </w:rPr>
              <w:t>深圳市龙岗区</w:t>
            </w:r>
            <w:r>
              <w:rPr>
                <w:rFonts w:hint="default" w:ascii="宋体" w:hAnsi="宋体" w:eastAsia="宋体" w:cs="宋体"/>
                <w:b/>
                <w:bCs/>
                <w:i w:val="0"/>
                <w:iCs w:val="0"/>
                <w:color w:val="000000"/>
                <w:kern w:val="0"/>
                <w:sz w:val="40"/>
                <w:szCs w:val="40"/>
                <w:u w:val="none"/>
                <w:lang w:eastAsia="zh-CN" w:bidi="ar"/>
              </w:rPr>
              <w:t>布吉</w:t>
            </w:r>
            <w:r>
              <w:rPr>
                <w:rFonts w:hint="eastAsia" w:ascii="宋体" w:hAnsi="宋体" w:eastAsia="宋体" w:cs="宋体"/>
                <w:b/>
                <w:bCs/>
                <w:i w:val="0"/>
                <w:iCs w:val="0"/>
                <w:color w:val="000000"/>
                <w:kern w:val="0"/>
                <w:sz w:val="40"/>
                <w:szCs w:val="40"/>
                <w:u w:val="none"/>
                <w:lang w:val="en-US" w:eastAsia="zh-CN" w:bidi="ar"/>
              </w:rPr>
              <w:t>街道行政调解委员会</w:t>
            </w: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首批</w:t>
            </w:r>
            <w:r>
              <w:rPr>
                <w:rFonts w:hint="default" w:ascii="宋体" w:hAnsi="宋体" w:eastAsia="宋体" w:cs="宋体"/>
                <w:b/>
                <w:bCs/>
                <w:i w:val="0"/>
                <w:iCs w:val="0"/>
                <w:color w:val="000000"/>
                <w:kern w:val="0"/>
                <w:sz w:val="40"/>
                <w:szCs w:val="40"/>
                <w:u w:val="none"/>
                <w:lang w:eastAsia="zh-CN" w:bidi="ar"/>
              </w:rPr>
              <w:t>行政</w:t>
            </w:r>
            <w:r>
              <w:rPr>
                <w:rFonts w:hint="eastAsia" w:ascii="宋体" w:hAnsi="宋体" w:eastAsia="宋体" w:cs="宋体"/>
                <w:b/>
                <w:bCs/>
                <w:i w:val="0"/>
                <w:iCs w:val="0"/>
                <w:color w:val="000000"/>
                <w:kern w:val="0"/>
                <w:sz w:val="40"/>
                <w:szCs w:val="40"/>
                <w:u w:val="none"/>
                <w:lang w:val="en-US" w:eastAsia="zh-CN" w:bidi="ar"/>
              </w:rPr>
              <w:t>调解事项清单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调解组织名称</w:t>
            </w:r>
          </w:p>
        </w:tc>
        <w:tc>
          <w:tcPr>
            <w:tcW w:w="1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调解事项</w:t>
            </w:r>
          </w:p>
        </w:tc>
        <w:tc>
          <w:tcPr>
            <w:tcW w:w="6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法律、法规及规章等文件依据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名称</w:t>
            </w:r>
          </w:p>
        </w:tc>
        <w:tc>
          <w:tcPr>
            <w:tcW w:w="4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适用条款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8"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default" w:ascii="宋体" w:hAnsi="宋体" w:eastAsia="宋体" w:cs="宋体"/>
                <w:i w:val="0"/>
                <w:iCs w:val="0"/>
                <w:color w:val="000000"/>
                <w:kern w:val="0"/>
                <w:sz w:val="22"/>
                <w:szCs w:val="22"/>
                <w:u w:val="none"/>
                <w:lang w:eastAsia="zh-CN" w:bidi="ar"/>
              </w:rPr>
              <w:t>布吉</w:t>
            </w:r>
            <w:bookmarkStart w:id="0" w:name="_GoBack"/>
            <w:bookmarkEnd w:id="0"/>
            <w:r>
              <w:rPr>
                <w:rFonts w:hint="eastAsia" w:ascii="宋体" w:hAnsi="宋体" w:eastAsia="宋体" w:cs="宋体"/>
                <w:i w:val="0"/>
                <w:iCs w:val="0"/>
                <w:color w:val="000000"/>
                <w:kern w:val="0"/>
                <w:sz w:val="22"/>
                <w:szCs w:val="22"/>
                <w:u w:val="none"/>
                <w:lang w:val="en-US" w:eastAsia="zh-CN" w:bidi="ar"/>
              </w:rPr>
              <w:t>街道行政调解委员会</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劳资纠纷调解</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《中华人民共和国劳动争议调解仲裁法》</w:t>
            </w:r>
          </w:p>
        </w:tc>
        <w:tc>
          <w:tcPr>
            <w:tcW w:w="4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第十条    发生劳动争议，当事人可以到下列调解组织申请调解：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（一）企业劳动争议调解委员会；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（二）依法设立的基层人民调解组织；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（三）在乡镇、街道设立的具有劳动争议调解职能的组织。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信访调解</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《信访工作条例》</w:t>
            </w:r>
          </w:p>
        </w:tc>
        <w:tc>
          <w:tcPr>
            <w:tcW w:w="4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第十五条　乡镇党委和政府、街道党工委和办事处以及村（社区）“两委”应当全面发挥职能作用，坚持和发展新时代“枫桥经验”，积极协调处理化解发生在当地的信访事项和矛盾纠纷，努力做到小事不出村、大事不出镇、矛盾不上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拖欠农民工工资纠纷调解</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《保障农民工工资支付条例》</w:t>
            </w:r>
          </w:p>
        </w:tc>
        <w:tc>
          <w:tcPr>
            <w:tcW w:w="4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第四条　县级以上地方人民政府对本行政区域内保障农民工工资支付工作负责，建立保障农民工工资支付工作协调机制，加强监管能力建设，健全保障农民工工资支付工作目标责任制，并纳入对本级人民政府有关部门和下级人民政府进行考核和监督的内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乡镇人民政府、街道办事处应当加强对拖欠农民工工资矛盾的排查和调处工作，防范和化解矛盾，及时调解纠纷。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物业管理纠纷调解</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《深圳经济特区物业管理条例》</w:t>
            </w:r>
          </w:p>
        </w:tc>
        <w:tc>
          <w:tcPr>
            <w:tcW w:w="4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第六条  街道办事处负责组织、协调业主大会成立以及业主委员会的选举工作，指导、监督业主大会和业主委员会的日常活动，调解物业管理纠纷，并配合住房和建设部门对物业管理活动进行监督管理。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搬迁补偿纠纷调解</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《深圳经济特区城市更新条例》</w:t>
            </w:r>
          </w:p>
        </w:tc>
        <w:tc>
          <w:tcPr>
            <w:tcW w:w="4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第三十五条  已签订搬迁补偿协议的专有部分面积占比或者物业权利人人数占比不低于百分之九十五时，市场主体与未签约业主经充分协商仍协商不成的，可以向项目所在地的区人民政府申请调解，区人民政府也可以召集有关当事人进行调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农村集体资产权属争议调解</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《广东省农村集体资产管理条例》</w:t>
            </w:r>
          </w:p>
        </w:tc>
        <w:tc>
          <w:tcPr>
            <w:tcW w:w="4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第十一条　对农村集体资产权属有争议的，由当事人协商解决；协商不成的，可以向乡镇人民政府、街道办事处申请调解；调解不成的，可以向县级人民政府农业行政主管部门申请调解。当事人也可以依法直接向人民法院提起诉讼。</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eastAsia="zh-CN"/>
        </w:rPr>
      </w:pPr>
    </w:p>
    <w:sectPr>
      <w:pgSz w:w="11906" w:h="16838"/>
      <w:pgMar w:top="1327" w:right="1633" w:bottom="1383"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BFB3CE6"/>
    <w:rsid w:val="4A1947CF"/>
    <w:rsid w:val="6DF4040B"/>
    <w:rsid w:val="7EBE5660"/>
    <w:rsid w:val="DCB9F28D"/>
    <w:rsid w:val="F8EF5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2018-07-12T07:11:00Z</dcterms:created>
  <dc:creator>d</dc:creator>
  <cp:lastModifiedBy>布吉司法所收发文</cp:lastModifiedBy>
  <dcterms:modified xsi:type="dcterms:W3CDTF">2022-12-07T11:38:05Z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