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节能审查免于办理说明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龙岗区</w:t>
      </w:r>
      <w:r>
        <w:rPr>
          <w:rFonts w:hint="eastAsia" w:ascii="仿宋_GB2312" w:hAnsi="仿宋_GB2312" w:eastAsia="仿宋_GB2312" w:cs="仿宋_GB2312"/>
          <w:sz w:val="32"/>
          <w:szCs w:val="32"/>
        </w:rPr>
        <w:t>发展和</w:t>
      </w:r>
      <w:r>
        <w:rPr>
          <w:rFonts w:hint="eastAsia" w:ascii="仿宋_GB2312" w:hAnsi="仿宋_GB2312" w:eastAsia="仿宋_GB2312" w:cs="仿宋_GB2312"/>
          <w:sz w:val="32"/>
          <w:szCs w:val="32"/>
          <w:lang w:val="en-US" w:eastAsia="zh-CN"/>
        </w:rPr>
        <w:t>改革局：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《固定资产投资项目节能审查办法》（国家发展改革委第44号令）</w:t>
      </w:r>
      <w:r>
        <w:rPr>
          <w:rFonts w:hint="eastAsia" w:ascii="仿宋_GB2312" w:hAnsi="仿宋_GB2312" w:eastAsia="仿宋_GB2312" w:cs="仿宋_GB2312"/>
          <w:sz w:val="32"/>
          <w:szCs w:val="32"/>
          <w:lang w:val="en-US" w:eastAsia="zh-CN"/>
        </w:rPr>
        <w:t>、《深圳市发展和改革委员会关于新能源汽车充电设施节能审查工作指引的通知》（深发改〔2020〕582号）相关规定，</w:t>
      </w:r>
      <w:r>
        <w:rPr>
          <w:rFonts w:hint="eastAsia" w:ascii="仿宋_GB2312" w:hAnsi="仿宋_GB2312" w:eastAsia="仿宋_GB2312" w:cs="仿宋_GB2312"/>
          <w:sz w:val="32"/>
          <w:szCs w:val="32"/>
          <w:lang w:eastAsia="zh-CN"/>
        </w:rPr>
        <w:t>年综合能源消费量不满1000吨标准煤，且年电力消费量不满500 万千瓦时的充电站项目，按照相关节能标准、规范建设，不单独进行节能审查。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经测算，</w:t>
      </w:r>
      <w:r>
        <w:rPr>
          <w:rFonts w:hint="eastAsia" w:ascii="仿宋_GB2312" w:hAnsi="仿宋_GB2312" w:eastAsia="仿宋_GB2312" w:cs="仿宋_GB2312"/>
          <w:sz w:val="32"/>
          <w:szCs w:val="32"/>
        </w:rPr>
        <w:t>我司</w:t>
      </w:r>
      <w:r>
        <w:rPr>
          <w:rFonts w:hint="eastAsia" w:ascii="仿宋_GB2312" w:hAnsi="仿宋_GB2312" w:eastAsia="仿宋_GB2312" w:cs="仿宋_GB2312"/>
          <w:sz w:val="32"/>
          <w:szCs w:val="32"/>
          <w:lang w:val="en-US" w:eastAsia="zh-CN"/>
        </w:rPr>
        <w:t>XX新能源汽车</w:t>
      </w:r>
      <w:r>
        <w:rPr>
          <w:rFonts w:hint="eastAsia" w:ascii="仿宋_GB2312" w:hAnsi="仿宋_GB2312" w:eastAsia="仿宋_GB2312" w:cs="仿宋_GB2312"/>
          <w:sz w:val="32"/>
          <w:szCs w:val="32"/>
        </w:rPr>
        <w:t>充电站</w:t>
      </w:r>
      <w:r>
        <w:rPr>
          <w:rFonts w:hint="eastAsia" w:ascii="仿宋_GB2312" w:hAnsi="仿宋_GB2312" w:eastAsia="仿宋_GB2312" w:cs="仿宋_GB2312"/>
          <w:sz w:val="32"/>
          <w:szCs w:val="32"/>
          <w:lang w:eastAsia="zh-CN"/>
        </w:rPr>
        <w:t>项目年综合能源消费量不满</w:t>
      </w:r>
      <w:r>
        <w:rPr>
          <w:rFonts w:hint="eastAsia" w:ascii="仿宋_GB2312" w:hAnsi="仿宋_GB2312" w:eastAsia="仿宋_GB2312" w:cs="仿宋_GB2312"/>
          <w:sz w:val="32"/>
          <w:szCs w:val="32"/>
          <w:lang w:val="en-US" w:eastAsia="zh-CN"/>
        </w:rPr>
        <w:t>1000吨标准煤，且年电力消费量不满500万千瓦时，按照相关规定，无需单独进行节能审查。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w:t>
      </w:r>
      <w:r>
        <w:rPr>
          <w:rFonts w:hint="eastAsia" w:ascii="仿宋_GB2312" w:hAnsi="仿宋_GB2312" w:eastAsia="仿宋_GB2312" w:cs="仿宋_GB2312"/>
          <w:sz w:val="32"/>
          <w:szCs w:val="32"/>
          <w:lang w:val="en-US" w:eastAsia="zh-CN"/>
        </w:rPr>
        <w:t>此说明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附件：XX充电站项目能源消费总体情况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XX公司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eastAsia="zh-CN"/>
        </w:rPr>
        <w:t>2</w:t>
      </w:r>
      <w:bookmarkStart w:id="0" w:name="_GoBack"/>
      <w:bookmarkEnd w:id="0"/>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X月X</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附件：XX充电站项目能源消费总体情况</w:t>
      </w:r>
    </w:p>
    <w:p>
      <w:pPr>
        <w:rPr>
          <w:rFonts w:hint="eastAsia"/>
          <w:lang w:val="en-US" w:eastAsia="zh-CN"/>
        </w:rPr>
      </w:pPr>
    </w:p>
    <w:p>
      <w:pPr>
        <w:pStyle w:val="4"/>
        <w:numPr>
          <w:ilvl w:val="0"/>
          <w:numId w:val="0"/>
        </w:numPr>
        <w:bidi w:val="0"/>
        <w:jc w:val="center"/>
        <w:rPr>
          <w:color w:val="auto"/>
          <w:sz w:val="22"/>
          <w:szCs w:val="28"/>
        </w:rPr>
      </w:pPr>
      <w:r>
        <w:rPr>
          <w:rFonts w:hint="eastAsia" w:ascii="楷体" w:hAnsi="楷体" w:eastAsia="楷体" w:cs="楷体"/>
          <w:b w:val="0"/>
          <w:bCs w:val="0"/>
          <w:color w:val="auto"/>
          <w:sz w:val="28"/>
          <w:szCs w:val="36"/>
          <w:lang w:val="en-US" w:eastAsia="zh-CN"/>
        </w:rPr>
        <w:t>XXX</w:t>
      </w:r>
      <w:r>
        <w:rPr>
          <w:rFonts w:hint="eastAsia" w:ascii="楷体" w:hAnsi="楷体" w:eastAsia="楷体" w:cs="楷体"/>
          <w:b w:val="0"/>
          <w:bCs w:val="0"/>
          <w:color w:val="auto"/>
          <w:sz w:val="28"/>
          <w:szCs w:val="36"/>
          <w:lang w:eastAsia="zh-CN"/>
        </w:rPr>
        <w:t>充电站</w:t>
      </w:r>
      <w:r>
        <w:rPr>
          <w:rFonts w:hint="eastAsia" w:ascii="楷体" w:hAnsi="楷体" w:eastAsia="楷体" w:cs="楷体"/>
          <w:b w:val="0"/>
          <w:bCs w:val="0"/>
          <w:color w:val="auto"/>
          <w:sz w:val="28"/>
          <w:szCs w:val="36"/>
        </w:rPr>
        <w:t>项目各系统耗电一览表</w:t>
      </w:r>
    </w:p>
    <w:tbl>
      <w:tblPr>
        <w:tblStyle w:val="2"/>
        <w:tblW w:w="83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18"/>
        <w:gridCol w:w="3201"/>
        <w:gridCol w:w="2768"/>
        <w:gridCol w:w="1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18" w:type="dxa"/>
            <w:tcBorders>
              <w:top w:val="single" w:color="000000" w:sz="4" w:space="0"/>
              <w:left w:val="single" w:color="000000" w:sz="4" w:space="0"/>
              <w:bottom w:val="single" w:color="auto" w:sz="4" w:space="0"/>
            </w:tcBorders>
            <w:noWrap w:val="0"/>
            <w:vAlign w:val="center"/>
          </w:tcPr>
          <w:p>
            <w:pPr>
              <w:pStyle w:val="5"/>
              <w:bidi w:val="0"/>
              <w:rPr>
                <w:rFonts w:hint="eastAsia"/>
                <w:color w:val="auto"/>
              </w:rPr>
            </w:pPr>
            <w:r>
              <w:rPr>
                <w:rFonts w:hint="eastAsia"/>
                <w:color w:val="auto"/>
                <w:lang w:val="en-US" w:eastAsia="zh-CN"/>
              </w:rPr>
              <w:t>序号</w:t>
            </w:r>
          </w:p>
        </w:tc>
        <w:tc>
          <w:tcPr>
            <w:tcW w:w="3201" w:type="dxa"/>
            <w:tcBorders>
              <w:top w:val="single" w:color="000000" w:sz="4" w:space="0"/>
              <w:left w:val="single" w:color="000000" w:sz="4" w:space="0"/>
              <w:bottom w:val="single" w:color="auto" w:sz="4" w:space="0"/>
              <w:right w:val="single" w:color="000000" w:sz="4" w:space="0"/>
            </w:tcBorders>
            <w:noWrap w:val="0"/>
            <w:vAlign w:val="center"/>
          </w:tcPr>
          <w:p>
            <w:pPr>
              <w:pStyle w:val="5"/>
              <w:bidi w:val="0"/>
              <w:rPr>
                <w:rFonts w:hint="eastAsia"/>
                <w:color w:val="auto"/>
              </w:rPr>
            </w:pPr>
            <w:r>
              <w:rPr>
                <w:rFonts w:hint="eastAsia"/>
                <w:color w:val="auto"/>
                <w:lang w:val="en-US" w:eastAsia="zh-CN"/>
              </w:rPr>
              <w:t>耗能种类</w:t>
            </w:r>
          </w:p>
        </w:tc>
        <w:tc>
          <w:tcPr>
            <w:tcW w:w="2768" w:type="dxa"/>
            <w:tcBorders>
              <w:top w:val="single" w:color="000000" w:sz="4" w:space="0"/>
              <w:left w:val="single" w:color="000000" w:sz="4" w:space="0"/>
              <w:bottom w:val="single" w:color="auto" w:sz="4" w:space="0"/>
              <w:right w:val="single" w:color="000000" w:sz="4" w:space="0"/>
            </w:tcBorders>
            <w:noWrap w:val="0"/>
            <w:vAlign w:val="center"/>
          </w:tcPr>
          <w:p>
            <w:pPr>
              <w:pStyle w:val="5"/>
              <w:bidi w:val="0"/>
              <w:rPr>
                <w:rFonts w:hint="eastAsia"/>
                <w:color w:val="auto"/>
                <w:lang w:val="en-US" w:eastAsia="zh-CN"/>
              </w:rPr>
            </w:pPr>
            <w:r>
              <w:rPr>
                <w:rFonts w:hint="eastAsia"/>
                <w:color w:val="auto"/>
                <w:lang w:val="en-US" w:eastAsia="zh-CN"/>
              </w:rPr>
              <w:t>年耗电量</w:t>
            </w:r>
          </w:p>
          <w:p>
            <w:pPr>
              <w:pStyle w:val="5"/>
              <w:bidi w:val="0"/>
              <w:rPr>
                <w:rFonts w:hint="eastAsia"/>
                <w:color w:val="auto"/>
              </w:rPr>
            </w:pPr>
            <w:r>
              <w:rPr>
                <w:rFonts w:hint="eastAsia"/>
                <w:color w:val="auto"/>
                <w:lang w:val="en-US" w:eastAsia="zh-CN"/>
              </w:rPr>
              <w:t>（万kW·h）</w:t>
            </w:r>
          </w:p>
        </w:tc>
        <w:tc>
          <w:tcPr>
            <w:tcW w:w="1759" w:type="dxa"/>
            <w:tcBorders>
              <w:top w:val="single" w:color="000000" w:sz="4" w:space="0"/>
              <w:left w:val="single" w:color="000000" w:sz="4" w:space="0"/>
              <w:bottom w:val="single" w:color="auto" w:sz="4" w:space="0"/>
              <w:right w:val="single" w:color="000000" w:sz="4" w:space="0"/>
            </w:tcBorders>
            <w:noWrap w:val="0"/>
            <w:vAlign w:val="center"/>
          </w:tcPr>
          <w:p>
            <w:pPr>
              <w:pStyle w:val="5"/>
              <w:bidi w:val="0"/>
              <w:rPr>
                <w:rFonts w:hint="eastAsia"/>
                <w:color w:val="auto"/>
              </w:rPr>
            </w:pPr>
            <w:r>
              <w:rPr>
                <w:rFonts w:hint="eastAsia"/>
                <w:color w:val="auto"/>
                <w:lang w:val="en-US" w:eastAsia="zh-CN"/>
              </w:rPr>
              <w:t>所占比例</w:t>
            </w:r>
            <w:r>
              <w:rPr>
                <w:rFonts w:hint="eastAsia"/>
                <w:color w:val="auto"/>
                <w:lang w:val="en-US" w:eastAsia="zh-CN"/>
              </w:rPr>
              <w:br w:type="textWrapping"/>
            </w:r>
            <w:r>
              <w:rPr>
                <w:rFonts w:hint="eastAsia"/>
                <w:color w:val="auto"/>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61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r>
              <w:rPr>
                <w:rFonts w:hint="default"/>
                <w:color w:val="auto"/>
                <w:lang w:val="en-US" w:eastAsia="zh-CN"/>
              </w:rPr>
              <w:t>1</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5"/>
              <w:bidi w:val="0"/>
              <w:jc w:val="center"/>
              <w:rPr>
                <w:rFonts w:hint="eastAsia"/>
                <w:color w:val="auto"/>
                <w:lang w:val="en-US" w:eastAsia="zh-CN"/>
              </w:rPr>
            </w:pPr>
            <w:r>
              <w:rPr>
                <w:rFonts w:hint="eastAsia"/>
                <w:color w:val="auto"/>
                <w:lang w:val="en-US" w:eastAsia="zh-CN"/>
              </w:rPr>
              <w:t>充电设备电力损耗</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trPr>
        <w:tc>
          <w:tcPr>
            <w:tcW w:w="61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r>
              <w:rPr>
                <w:rFonts w:hint="default"/>
                <w:color w:val="auto"/>
                <w:lang w:val="en-US" w:eastAsia="zh-CN"/>
              </w:rPr>
              <w:t>2</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5"/>
              <w:bidi w:val="0"/>
              <w:jc w:val="center"/>
              <w:rPr>
                <w:rFonts w:hint="default"/>
                <w:color w:val="auto"/>
                <w:lang w:val="en-US" w:eastAsia="zh-CN"/>
              </w:rPr>
            </w:pPr>
            <w:r>
              <w:rPr>
                <w:rFonts w:hint="eastAsia"/>
                <w:color w:val="auto"/>
                <w:lang w:val="en-US" w:eastAsia="zh-CN"/>
              </w:rPr>
              <w:t>变配电设备损耗</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61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r>
              <w:rPr>
                <w:rFonts w:hint="default"/>
                <w:color w:val="auto"/>
                <w:lang w:val="en-US" w:eastAsia="zh-CN"/>
              </w:rPr>
              <w:t>3</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5"/>
              <w:bidi w:val="0"/>
              <w:jc w:val="center"/>
              <w:rPr>
                <w:rFonts w:hint="eastAsia"/>
                <w:color w:val="auto"/>
                <w:lang w:val="en-US" w:eastAsia="zh-CN"/>
              </w:rPr>
            </w:pPr>
            <w:r>
              <w:rPr>
                <w:rFonts w:hint="eastAsia"/>
                <w:color w:val="auto"/>
                <w:lang w:val="en-US" w:eastAsia="zh-CN"/>
              </w:rPr>
              <w:t>电力线缆损耗</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61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default"/>
                <w:color w:val="auto"/>
                <w:lang w:val="en-US" w:eastAsia="zh-CN"/>
              </w:rPr>
            </w:pPr>
            <w:r>
              <w:rPr>
                <w:rFonts w:hint="eastAsia"/>
                <w:color w:val="auto"/>
                <w:lang w:val="en-US" w:eastAsia="zh-CN"/>
              </w:rPr>
              <w:t>4</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5"/>
              <w:bidi w:val="0"/>
              <w:jc w:val="center"/>
              <w:rPr>
                <w:rFonts w:hint="default"/>
                <w:color w:val="auto"/>
                <w:lang w:val="en-US" w:eastAsia="zh-CN"/>
              </w:rPr>
            </w:pPr>
            <w:r>
              <w:rPr>
                <w:rFonts w:hint="eastAsia"/>
                <w:color w:val="auto"/>
                <w:lang w:val="en-US" w:eastAsia="zh-CN"/>
              </w:rPr>
              <w:t>空调、照明、监控、通风、给排水等辅助设备电力消耗</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61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default"/>
                <w:color w:val="auto"/>
                <w:lang w:val="en-US" w:eastAsia="zh-CN"/>
              </w:rPr>
            </w:pPr>
            <w:r>
              <w:rPr>
                <w:rFonts w:hint="eastAsia"/>
                <w:color w:val="auto"/>
                <w:lang w:val="en-US" w:eastAsia="zh-CN"/>
              </w:rPr>
              <w:t>...</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5"/>
              <w:bidi w:val="0"/>
              <w:jc w:val="center"/>
              <w:rPr>
                <w:rFonts w:hint="eastAsia"/>
                <w:color w:val="auto"/>
                <w:lang w:val="en-US" w:eastAsia="zh-CN"/>
              </w:rPr>
            </w:pPr>
            <w:r>
              <w:rPr>
                <w:rFonts w:hint="eastAsia"/>
                <w:color w:val="auto"/>
                <w:lang w:val="en-US" w:eastAsia="zh-CN"/>
              </w:rPr>
              <w:t>其他</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default"/>
                <w:color w:val="auto"/>
                <w:lang w:val="en-US" w:eastAsia="zh-CN"/>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default"/>
                <w:color w:va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618" w:type="dxa"/>
            <w:tcBorders>
              <w:top w:val="single" w:color="auto" w:sz="4" w:space="0"/>
              <w:left w:val="single" w:color="auto" w:sz="4" w:space="0"/>
              <w:bottom w:val="single" w:color="auto" w:sz="4" w:space="0"/>
              <w:right w:val="single" w:color="auto" w:sz="4" w:space="0"/>
            </w:tcBorders>
            <w:noWrap w:val="0"/>
            <w:vAlign w:val="center"/>
          </w:tcPr>
          <w:p>
            <w:pPr>
              <w:pStyle w:val="5"/>
              <w:bidi w:val="0"/>
              <w:ind w:firstLine="0" w:firstLineChars="0"/>
              <w:rPr>
                <w:rFonts w:hint="eastAsia"/>
                <w:color w:val="auto"/>
                <w:lang w:val="en-US" w:eastAsia="zh-CN"/>
              </w:rPr>
            </w:pPr>
            <w:r>
              <w:rPr>
                <w:rFonts w:hint="eastAsia"/>
                <w:color w:val="auto"/>
                <w:lang w:val="en-US" w:eastAsia="zh-CN"/>
              </w:rPr>
              <w:t>合计</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5"/>
              <w:bidi w:val="0"/>
              <w:ind w:firstLine="0" w:firstLineChars="0"/>
              <w:jc w:val="center"/>
              <w:rPr>
                <w:rFonts w:hint="eastAsia"/>
                <w:color w:val="auto"/>
                <w:lang w:val="en-US" w:eastAsia="zh-CN"/>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5"/>
              <w:bidi w:val="0"/>
              <w:ind w:firstLine="0" w:firstLineChars="0"/>
              <w:rPr>
                <w:rFonts w:hint="default"/>
                <w:color w:val="auto"/>
                <w:lang w:val="en-US" w:eastAsia="zh-CN"/>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pStyle w:val="5"/>
              <w:bidi w:val="0"/>
              <w:ind w:firstLine="0" w:firstLineChars="0"/>
              <w:rPr>
                <w:rFonts w:hint="default"/>
                <w:color w:val="auto"/>
                <w:lang w:val="en-US" w:eastAsia="zh-CN"/>
              </w:rPr>
            </w:pPr>
            <w:r>
              <w:rPr>
                <w:rFonts w:hint="default"/>
                <w:color w:val="auto"/>
                <w:lang w:val="en-US" w:eastAsia="zh-CN"/>
              </w:rPr>
              <w:t>100.00%</w:t>
            </w:r>
          </w:p>
        </w:tc>
      </w:tr>
    </w:tbl>
    <w:p>
      <w:pPr>
        <w:pStyle w:val="4"/>
        <w:numPr>
          <w:ilvl w:val="0"/>
          <w:numId w:val="0"/>
        </w:numPr>
        <w:bidi w:val="0"/>
        <w:jc w:val="both"/>
        <w:rPr>
          <w:rFonts w:hint="eastAsia" w:ascii="楷体" w:hAnsi="楷体" w:eastAsia="楷体" w:cs="楷体"/>
          <w:b w:val="0"/>
          <w:bCs w:val="0"/>
          <w:color w:val="auto"/>
          <w:sz w:val="28"/>
          <w:szCs w:val="36"/>
          <w:lang w:eastAsia="zh-CN"/>
        </w:rPr>
      </w:pPr>
    </w:p>
    <w:p>
      <w:pPr>
        <w:pStyle w:val="4"/>
        <w:numPr>
          <w:ilvl w:val="0"/>
          <w:numId w:val="0"/>
        </w:numPr>
        <w:bidi w:val="0"/>
        <w:jc w:val="both"/>
        <w:rPr>
          <w:rFonts w:hint="eastAsia" w:ascii="楷体" w:hAnsi="楷体" w:eastAsia="楷体" w:cs="楷体"/>
          <w:b w:val="0"/>
          <w:bCs w:val="0"/>
          <w:color w:val="auto"/>
          <w:sz w:val="28"/>
          <w:szCs w:val="36"/>
          <w:lang w:eastAsia="zh-CN"/>
        </w:rPr>
      </w:pPr>
      <w:r>
        <w:rPr>
          <w:rFonts w:hint="eastAsia" w:ascii="楷体" w:hAnsi="楷体" w:eastAsia="楷体" w:cs="楷体"/>
          <w:b w:val="0"/>
          <w:bCs w:val="0"/>
          <w:color w:val="auto"/>
          <w:sz w:val="28"/>
          <w:szCs w:val="36"/>
          <w:lang w:val="en-US" w:eastAsia="zh-CN"/>
        </w:rPr>
        <w:t>1.</w:t>
      </w:r>
      <w:r>
        <w:rPr>
          <w:rFonts w:hint="eastAsia" w:ascii="楷体" w:hAnsi="楷体" w:eastAsia="楷体" w:cs="楷体"/>
          <w:b w:val="0"/>
          <w:bCs w:val="0"/>
          <w:color w:val="auto"/>
          <w:sz w:val="28"/>
          <w:szCs w:val="36"/>
          <w:lang w:eastAsia="zh-CN"/>
        </w:rPr>
        <w:t>充电设备电力损耗</w:t>
      </w:r>
    </w:p>
    <w:tbl>
      <w:tblPr>
        <w:tblStyle w:val="2"/>
        <w:tblW w:w="8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21"/>
        <w:gridCol w:w="1743"/>
        <w:gridCol w:w="724"/>
        <w:gridCol w:w="960"/>
        <w:gridCol w:w="471"/>
        <w:gridCol w:w="701"/>
        <w:gridCol w:w="981"/>
        <w:gridCol w:w="591"/>
        <w:gridCol w:w="764"/>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blHeader/>
        </w:trPr>
        <w:tc>
          <w:tcPr>
            <w:tcW w:w="421" w:type="dxa"/>
            <w:noWrap w:val="0"/>
            <w:vAlign w:val="center"/>
          </w:tcPr>
          <w:p>
            <w:pPr>
              <w:pStyle w:val="6"/>
              <w:bidi w:val="0"/>
              <w:rPr>
                <w:color w:val="auto"/>
                <w:lang w:val="en-US" w:eastAsia="zh-CN"/>
              </w:rPr>
            </w:pPr>
            <w:r>
              <w:rPr>
                <w:rFonts w:hint="eastAsia"/>
                <w:color w:val="auto"/>
                <w:lang w:val="en-US" w:eastAsia="zh-CN"/>
              </w:rPr>
              <w:t>序号</w:t>
            </w:r>
          </w:p>
        </w:tc>
        <w:tc>
          <w:tcPr>
            <w:tcW w:w="1743" w:type="dxa"/>
            <w:noWrap w:val="0"/>
            <w:vAlign w:val="center"/>
          </w:tcPr>
          <w:p>
            <w:pPr>
              <w:pStyle w:val="6"/>
              <w:bidi w:val="0"/>
              <w:rPr>
                <w:rFonts w:hint="eastAsia"/>
                <w:color w:val="auto"/>
                <w:lang w:val="en-US" w:eastAsia="zh-CN"/>
              </w:rPr>
            </w:pPr>
            <w:r>
              <w:rPr>
                <w:rFonts w:hint="eastAsia"/>
                <w:color w:val="auto"/>
                <w:lang w:val="en-US" w:eastAsia="zh-CN"/>
              </w:rPr>
              <w:t>设备名称</w:t>
            </w:r>
          </w:p>
        </w:tc>
        <w:tc>
          <w:tcPr>
            <w:tcW w:w="724" w:type="dxa"/>
            <w:noWrap w:val="0"/>
            <w:vAlign w:val="center"/>
          </w:tcPr>
          <w:p>
            <w:pPr>
              <w:pStyle w:val="6"/>
              <w:bidi w:val="0"/>
              <w:rPr>
                <w:rFonts w:hint="eastAsia"/>
                <w:color w:val="auto"/>
                <w:lang w:val="en-US" w:eastAsia="zh-CN"/>
              </w:rPr>
            </w:pPr>
            <w:r>
              <w:rPr>
                <w:rFonts w:hint="eastAsia"/>
                <w:color w:val="auto"/>
                <w:lang w:val="en-US" w:eastAsia="zh-CN"/>
              </w:rPr>
              <w:t>数量</w:t>
            </w:r>
            <w:r>
              <w:rPr>
                <w:rFonts w:hint="eastAsia"/>
                <w:color w:val="auto"/>
                <w:lang w:val="en-US" w:eastAsia="zh-CN"/>
              </w:rPr>
              <w:br w:type="textWrapping"/>
            </w:r>
            <w:r>
              <w:rPr>
                <w:rFonts w:hint="eastAsia"/>
                <w:color w:val="auto"/>
                <w:lang w:val="en-US" w:eastAsia="zh-CN"/>
              </w:rPr>
              <w:t>(台)</w:t>
            </w:r>
          </w:p>
        </w:tc>
        <w:tc>
          <w:tcPr>
            <w:tcW w:w="960" w:type="dxa"/>
            <w:noWrap w:val="0"/>
            <w:vAlign w:val="center"/>
          </w:tcPr>
          <w:p>
            <w:pPr>
              <w:pStyle w:val="6"/>
              <w:bidi w:val="0"/>
              <w:rPr>
                <w:rFonts w:hint="eastAsia"/>
                <w:color w:val="auto"/>
                <w:lang w:val="en-US" w:eastAsia="zh-CN"/>
              </w:rPr>
            </w:pPr>
            <w:r>
              <w:rPr>
                <w:rFonts w:hint="eastAsia"/>
                <w:color w:val="auto"/>
                <w:lang w:val="en-US" w:eastAsia="zh-CN"/>
              </w:rPr>
              <w:t>单机功率</w:t>
            </w:r>
            <w:r>
              <w:rPr>
                <w:color w:val="auto"/>
                <w:lang w:val="en-US" w:eastAsia="zh-CN"/>
              </w:rPr>
              <w:t>(kW/台)</w:t>
            </w:r>
          </w:p>
        </w:tc>
        <w:tc>
          <w:tcPr>
            <w:tcW w:w="471" w:type="dxa"/>
            <w:noWrap w:val="0"/>
            <w:vAlign w:val="center"/>
          </w:tcPr>
          <w:p>
            <w:pPr>
              <w:pStyle w:val="6"/>
              <w:bidi w:val="0"/>
              <w:rPr>
                <w:rFonts w:hint="eastAsia"/>
                <w:color w:val="auto"/>
                <w:lang w:val="en-US" w:eastAsia="zh-CN"/>
              </w:rPr>
            </w:pPr>
            <w:r>
              <w:rPr>
                <w:rFonts w:hint="eastAsia"/>
                <w:color w:val="auto"/>
                <w:lang w:val="en-US" w:eastAsia="zh-CN"/>
              </w:rPr>
              <w:t>需要</w:t>
            </w:r>
            <w:r>
              <w:rPr>
                <w:rFonts w:hint="eastAsia"/>
                <w:color w:val="auto"/>
                <w:lang w:val="en-US" w:eastAsia="zh-CN"/>
              </w:rPr>
              <w:br w:type="textWrapping"/>
            </w:r>
            <w:r>
              <w:rPr>
                <w:rFonts w:hint="eastAsia"/>
                <w:color w:val="auto"/>
                <w:lang w:val="en-US" w:eastAsia="zh-CN"/>
              </w:rPr>
              <w:t>系数</w:t>
            </w:r>
          </w:p>
        </w:tc>
        <w:tc>
          <w:tcPr>
            <w:tcW w:w="701" w:type="dxa"/>
            <w:noWrap w:val="0"/>
            <w:vAlign w:val="center"/>
          </w:tcPr>
          <w:p>
            <w:pPr>
              <w:pStyle w:val="6"/>
              <w:bidi w:val="0"/>
              <w:rPr>
                <w:rFonts w:hint="eastAsia"/>
                <w:color w:val="auto"/>
                <w:lang w:val="en-US" w:eastAsia="zh-CN"/>
              </w:rPr>
            </w:pPr>
            <w:r>
              <w:rPr>
                <w:rFonts w:hint="eastAsia"/>
                <w:color w:val="auto"/>
                <w:lang w:val="en-US" w:eastAsia="zh-CN"/>
              </w:rPr>
              <w:t>用电损耗率</w:t>
            </w:r>
          </w:p>
        </w:tc>
        <w:tc>
          <w:tcPr>
            <w:tcW w:w="981" w:type="dxa"/>
            <w:noWrap w:val="0"/>
            <w:vAlign w:val="center"/>
          </w:tcPr>
          <w:p>
            <w:pPr>
              <w:pStyle w:val="6"/>
              <w:bidi w:val="0"/>
              <w:rPr>
                <w:rFonts w:hint="eastAsia"/>
                <w:color w:val="A5A5A5" w:themeColor="accent3"/>
                <w:highlight w:val="none"/>
                <w:shd w:val="clear" w:color="auto" w:fill="auto"/>
                <w:lang w:val="en-US" w:eastAsia="zh-CN"/>
                <w14:textFill>
                  <w14:solidFill>
                    <w14:schemeClr w14:val="accent3"/>
                  </w14:solidFill>
                </w14:textFill>
              </w:rPr>
            </w:pPr>
            <w:r>
              <w:rPr>
                <w:rFonts w:hint="eastAsia"/>
                <w:color w:val="auto"/>
                <w:highlight w:val="none"/>
                <w:shd w:val="clear" w:color="auto" w:fill="auto"/>
                <w:lang w:val="en-US" w:eastAsia="zh-CN"/>
              </w:rPr>
              <w:t>有功功率</w:t>
            </w:r>
            <w:r>
              <w:rPr>
                <w:rFonts w:hint="eastAsia"/>
                <w:color w:val="auto"/>
                <w:highlight w:val="none"/>
                <w:shd w:val="clear" w:color="auto" w:fill="auto"/>
                <w:lang w:val="en-US" w:eastAsia="zh-CN"/>
              </w:rPr>
              <w:br w:type="textWrapping"/>
            </w:r>
            <w:r>
              <w:rPr>
                <w:rFonts w:hint="eastAsia"/>
                <w:color w:val="auto"/>
                <w:highlight w:val="none"/>
                <w:shd w:val="clear" w:color="auto" w:fill="auto"/>
                <w:lang w:val="en-US" w:eastAsia="zh-CN"/>
              </w:rPr>
              <w:t>(</w:t>
            </w:r>
            <w:r>
              <w:rPr>
                <w:color w:val="auto"/>
                <w:highlight w:val="none"/>
                <w:shd w:val="clear" w:color="auto" w:fill="auto"/>
                <w:lang w:val="en-US" w:eastAsia="zh-CN"/>
              </w:rPr>
              <w:t>kW</w:t>
            </w:r>
            <w:r>
              <w:rPr>
                <w:rFonts w:hint="eastAsia"/>
                <w:color w:val="auto"/>
                <w:highlight w:val="none"/>
                <w:shd w:val="clear" w:color="auto" w:fill="auto"/>
                <w:lang w:val="en-US" w:eastAsia="zh-CN"/>
              </w:rPr>
              <w:t>)</w:t>
            </w:r>
          </w:p>
        </w:tc>
        <w:tc>
          <w:tcPr>
            <w:tcW w:w="591" w:type="dxa"/>
            <w:noWrap w:val="0"/>
            <w:vAlign w:val="center"/>
          </w:tcPr>
          <w:p>
            <w:pPr>
              <w:pStyle w:val="6"/>
              <w:bidi w:val="0"/>
              <w:rPr>
                <w:rFonts w:hint="eastAsia"/>
                <w:color w:val="auto"/>
                <w:lang w:val="en-US" w:eastAsia="zh-CN"/>
              </w:rPr>
            </w:pPr>
            <w:r>
              <w:rPr>
                <w:rFonts w:hint="eastAsia"/>
                <w:color w:val="auto"/>
                <w:lang w:val="en-US" w:eastAsia="zh-CN"/>
              </w:rPr>
              <w:t>负载系数</w:t>
            </w:r>
          </w:p>
        </w:tc>
        <w:tc>
          <w:tcPr>
            <w:tcW w:w="764" w:type="dxa"/>
            <w:noWrap w:val="0"/>
            <w:vAlign w:val="center"/>
          </w:tcPr>
          <w:p>
            <w:pPr>
              <w:pStyle w:val="6"/>
              <w:bidi w:val="0"/>
              <w:rPr>
                <w:rFonts w:hint="eastAsia"/>
                <w:color w:val="auto"/>
                <w:lang w:val="en-US" w:eastAsia="zh-CN"/>
              </w:rPr>
            </w:pPr>
            <w:r>
              <w:rPr>
                <w:rFonts w:hint="eastAsia"/>
                <w:color w:val="auto"/>
                <w:lang w:val="en-US" w:eastAsia="zh-CN"/>
              </w:rPr>
              <w:t>年用电时间(h)</w:t>
            </w:r>
          </w:p>
        </w:tc>
        <w:tc>
          <w:tcPr>
            <w:tcW w:w="986" w:type="dxa"/>
            <w:noWrap w:val="0"/>
            <w:vAlign w:val="center"/>
          </w:tcPr>
          <w:p>
            <w:pPr>
              <w:pStyle w:val="6"/>
              <w:bidi w:val="0"/>
              <w:rPr>
                <w:rFonts w:hint="eastAsia"/>
                <w:color w:val="auto"/>
                <w:lang w:val="en-US" w:eastAsia="zh-CN"/>
              </w:rPr>
            </w:pPr>
            <w:r>
              <w:rPr>
                <w:rFonts w:hint="eastAsia"/>
                <w:color w:val="auto"/>
                <w:lang w:val="en-US" w:eastAsia="zh-CN"/>
              </w:rPr>
              <w:t>年耗电量</w:t>
            </w:r>
            <w:r>
              <w:rPr>
                <w:rFonts w:hint="eastAsia"/>
                <w:color w:val="auto"/>
                <w:lang w:val="en-US" w:eastAsia="zh-CN"/>
              </w:rPr>
              <w:br w:type="textWrapping"/>
            </w:r>
            <w:r>
              <w:rPr>
                <w:rFonts w:hint="eastAsia"/>
                <w:color w:val="auto"/>
                <w:lang w:val="en-US" w:eastAsia="zh-CN"/>
              </w:rPr>
              <w:t>(</w:t>
            </w:r>
            <w:r>
              <w:rPr>
                <w:color w:val="auto"/>
                <w:lang w:val="en-US" w:eastAsia="zh-CN"/>
              </w:rPr>
              <w:t>万kW·h</w:t>
            </w: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Pr>
        <w:tc>
          <w:tcPr>
            <w:tcW w:w="421" w:type="dxa"/>
            <w:noWrap w:val="0"/>
            <w:vAlign w:val="center"/>
          </w:tcPr>
          <w:p>
            <w:pPr>
              <w:pStyle w:val="6"/>
              <w:bidi w:val="0"/>
              <w:rPr>
                <w:rFonts w:hint="default"/>
                <w:color w:val="auto"/>
                <w:lang w:val="en-US" w:eastAsia="zh-CN"/>
              </w:rPr>
            </w:pPr>
            <w:r>
              <w:rPr>
                <w:rFonts w:hint="default"/>
                <w:color w:val="auto"/>
                <w:lang w:val="en-US" w:eastAsia="zh-CN"/>
              </w:rPr>
              <w:t>1</w:t>
            </w:r>
          </w:p>
        </w:tc>
        <w:tc>
          <w:tcPr>
            <w:tcW w:w="1743" w:type="dxa"/>
            <w:noWrap w:val="0"/>
            <w:vAlign w:val="center"/>
          </w:tcPr>
          <w:p>
            <w:pPr>
              <w:pStyle w:val="6"/>
              <w:bidi w:val="0"/>
              <w:rPr>
                <w:rFonts w:hint="eastAsia"/>
                <w:color w:val="auto"/>
                <w:lang w:val="en-US" w:eastAsia="zh-CN"/>
              </w:rPr>
            </w:pPr>
            <w:r>
              <w:rPr>
                <w:rFonts w:hint="eastAsia"/>
                <w:color w:val="auto"/>
                <w:lang w:val="en-US" w:eastAsia="zh-CN"/>
              </w:rPr>
              <w:t>**KW**充电桩</w:t>
            </w:r>
          </w:p>
        </w:tc>
        <w:tc>
          <w:tcPr>
            <w:tcW w:w="724" w:type="dxa"/>
            <w:noWrap w:val="0"/>
            <w:vAlign w:val="center"/>
          </w:tcPr>
          <w:p>
            <w:pPr>
              <w:pStyle w:val="6"/>
              <w:bidi w:val="0"/>
              <w:rPr>
                <w:rFonts w:hint="default"/>
                <w:color w:val="auto"/>
                <w:lang w:val="en-US" w:eastAsia="zh-CN"/>
              </w:rPr>
            </w:pPr>
          </w:p>
        </w:tc>
        <w:tc>
          <w:tcPr>
            <w:tcW w:w="960" w:type="dxa"/>
            <w:noWrap w:val="0"/>
            <w:vAlign w:val="center"/>
          </w:tcPr>
          <w:p>
            <w:pPr>
              <w:pStyle w:val="6"/>
              <w:bidi w:val="0"/>
              <w:rPr>
                <w:rFonts w:hint="default"/>
                <w:color w:val="auto"/>
                <w:lang w:val="en-US" w:eastAsia="zh-CN"/>
              </w:rPr>
            </w:pPr>
          </w:p>
        </w:tc>
        <w:tc>
          <w:tcPr>
            <w:tcW w:w="471" w:type="dxa"/>
            <w:noWrap w:val="0"/>
            <w:vAlign w:val="center"/>
          </w:tcPr>
          <w:p>
            <w:pPr>
              <w:pStyle w:val="6"/>
              <w:bidi w:val="0"/>
              <w:rPr>
                <w:rFonts w:hint="default"/>
                <w:color w:val="auto"/>
                <w:lang w:val="en-US" w:eastAsia="zh-CN"/>
              </w:rPr>
            </w:pPr>
            <w:r>
              <w:rPr>
                <w:rFonts w:hint="default"/>
                <w:color w:val="auto"/>
                <w:lang w:val="en-US" w:eastAsia="zh-CN"/>
              </w:rPr>
              <w:t>0.3</w:t>
            </w:r>
          </w:p>
        </w:tc>
        <w:tc>
          <w:tcPr>
            <w:tcW w:w="701" w:type="dxa"/>
            <w:noWrap w:val="0"/>
            <w:vAlign w:val="center"/>
          </w:tcPr>
          <w:p>
            <w:pPr>
              <w:pStyle w:val="6"/>
              <w:bidi w:val="0"/>
              <w:rPr>
                <w:rFonts w:hint="default"/>
                <w:color w:val="auto"/>
                <w:lang w:val="en-US" w:eastAsia="zh-CN"/>
              </w:rPr>
            </w:pPr>
          </w:p>
        </w:tc>
        <w:tc>
          <w:tcPr>
            <w:tcW w:w="981" w:type="dxa"/>
            <w:noWrap w:val="0"/>
            <w:vAlign w:val="center"/>
          </w:tcPr>
          <w:p>
            <w:pPr>
              <w:pStyle w:val="6"/>
              <w:bidi w:val="0"/>
              <w:rPr>
                <w:rFonts w:hint="default"/>
                <w:color w:val="A5A5A5" w:themeColor="accent3"/>
                <w:highlight w:val="none"/>
                <w:shd w:val="clear" w:color="auto" w:fill="auto"/>
                <w:lang w:val="en-US" w:eastAsia="zh-CN"/>
                <w14:textFill>
                  <w14:solidFill>
                    <w14:schemeClr w14:val="accent3"/>
                  </w14:solidFill>
                </w14:textFill>
              </w:rPr>
            </w:pPr>
          </w:p>
        </w:tc>
        <w:tc>
          <w:tcPr>
            <w:tcW w:w="591" w:type="dxa"/>
            <w:noWrap w:val="0"/>
            <w:vAlign w:val="center"/>
          </w:tcPr>
          <w:p>
            <w:pPr>
              <w:pStyle w:val="6"/>
              <w:bidi w:val="0"/>
              <w:rPr>
                <w:rFonts w:hint="default"/>
                <w:color w:val="auto"/>
                <w:lang w:val="en-US" w:eastAsia="zh-CN"/>
              </w:rPr>
            </w:pPr>
          </w:p>
        </w:tc>
        <w:tc>
          <w:tcPr>
            <w:tcW w:w="764" w:type="dxa"/>
            <w:noWrap w:val="0"/>
            <w:vAlign w:val="center"/>
          </w:tcPr>
          <w:p>
            <w:pPr>
              <w:pStyle w:val="6"/>
              <w:bidi w:val="0"/>
              <w:rPr>
                <w:rFonts w:hint="default"/>
                <w:color w:val="auto"/>
                <w:lang w:val="en-US" w:eastAsia="zh-CN"/>
              </w:rPr>
            </w:pPr>
          </w:p>
        </w:tc>
        <w:tc>
          <w:tcPr>
            <w:tcW w:w="986" w:type="dxa"/>
            <w:noWrap w:val="0"/>
            <w:vAlign w:val="center"/>
          </w:tcPr>
          <w:p>
            <w:pPr>
              <w:pStyle w:val="6"/>
              <w:bidi w:val="0"/>
              <w:rPr>
                <w:rFonts w:hint="default"/>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Pr>
        <w:tc>
          <w:tcPr>
            <w:tcW w:w="421" w:type="dxa"/>
            <w:noWrap w:val="0"/>
            <w:vAlign w:val="center"/>
          </w:tcPr>
          <w:p>
            <w:pPr>
              <w:pStyle w:val="6"/>
              <w:bidi w:val="0"/>
              <w:rPr>
                <w:rFonts w:hint="default"/>
                <w:color w:val="auto"/>
                <w:lang w:val="en-US" w:eastAsia="zh-CN"/>
              </w:rPr>
            </w:pPr>
            <w:r>
              <w:rPr>
                <w:rFonts w:hint="eastAsia"/>
                <w:color w:val="auto"/>
                <w:lang w:val="en-US" w:eastAsia="zh-CN"/>
              </w:rPr>
              <w:t>2</w:t>
            </w:r>
          </w:p>
        </w:tc>
        <w:tc>
          <w:tcPr>
            <w:tcW w:w="1743" w:type="dxa"/>
            <w:noWrap w:val="0"/>
            <w:vAlign w:val="center"/>
          </w:tcPr>
          <w:p>
            <w:pPr>
              <w:pStyle w:val="6"/>
              <w:bidi w:val="0"/>
              <w:rPr>
                <w:rFonts w:hint="default"/>
                <w:color w:val="auto"/>
                <w:lang w:val="en-US" w:eastAsia="zh-CN"/>
              </w:rPr>
            </w:pPr>
            <w:r>
              <w:rPr>
                <w:rFonts w:hint="eastAsia"/>
                <w:color w:val="auto"/>
                <w:lang w:val="en-US" w:eastAsia="zh-CN"/>
              </w:rPr>
              <w:t>...</w:t>
            </w:r>
          </w:p>
        </w:tc>
        <w:tc>
          <w:tcPr>
            <w:tcW w:w="724" w:type="dxa"/>
            <w:noWrap w:val="0"/>
            <w:vAlign w:val="center"/>
          </w:tcPr>
          <w:p>
            <w:pPr>
              <w:pStyle w:val="6"/>
              <w:bidi w:val="0"/>
              <w:rPr>
                <w:rFonts w:hint="default"/>
                <w:color w:val="auto"/>
                <w:lang w:val="en-US" w:eastAsia="zh-CN"/>
              </w:rPr>
            </w:pPr>
          </w:p>
        </w:tc>
        <w:tc>
          <w:tcPr>
            <w:tcW w:w="960" w:type="dxa"/>
            <w:noWrap w:val="0"/>
            <w:vAlign w:val="center"/>
          </w:tcPr>
          <w:p>
            <w:pPr>
              <w:pStyle w:val="6"/>
              <w:bidi w:val="0"/>
              <w:rPr>
                <w:rFonts w:hint="default"/>
                <w:color w:val="auto"/>
                <w:lang w:val="en-US" w:eastAsia="zh-CN"/>
              </w:rPr>
            </w:pPr>
          </w:p>
        </w:tc>
        <w:tc>
          <w:tcPr>
            <w:tcW w:w="471" w:type="dxa"/>
            <w:noWrap w:val="0"/>
            <w:vAlign w:val="center"/>
          </w:tcPr>
          <w:p>
            <w:pPr>
              <w:pStyle w:val="6"/>
              <w:bidi w:val="0"/>
              <w:rPr>
                <w:rFonts w:hint="default"/>
                <w:color w:val="auto"/>
                <w:lang w:val="en-US" w:eastAsia="zh-CN"/>
              </w:rPr>
            </w:pPr>
            <w:r>
              <w:rPr>
                <w:rFonts w:hint="eastAsia"/>
                <w:color w:val="auto"/>
                <w:lang w:val="en-US" w:eastAsia="zh-CN"/>
              </w:rPr>
              <w:t>0.3</w:t>
            </w:r>
          </w:p>
        </w:tc>
        <w:tc>
          <w:tcPr>
            <w:tcW w:w="701" w:type="dxa"/>
            <w:noWrap w:val="0"/>
            <w:vAlign w:val="center"/>
          </w:tcPr>
          <w:p>
            <w:pPr>
              <w:pStyle w:val="6"/>
              <w:bidi w:val="0"/>
              <w:rPr>
                <w:rFonts w:hint="default"/>
                <w:color w:val="auto"/>
                <w:lang w:val="en-US" w:eastAsia="zh-CN"/>
              </w:rPr>
            </w:pPr>
          </w:p>
        </w:tc>
        <w:tc>
          <w:tcPr>
            <w:tcW w:w="981" w:type="dxa"/>
            <w:noWrap w:val="0"/>
            <w:vAlign w:val="center"/>
          </w:tcPr>
          <w:p>
            <w:pPr>
              <w:pStyle w:val="6"/>
              <w:bidi w:val="0"/>
              <w:rPr>
                <w:rFonts w:hint="default"/>
                <w:color w:val="A5A5A5" w:themeColor="accent3"/>
                <w:highlight w:val="none"/>
                <w:shd w:val="clear" w:color="auto" w:fill="auto"/>
                <w:lang w:val="en-US" w:eastAsia="zh-CN"/>
                <w14:textFill>
                  <w14:solidFill>
                    <w14:schemeClr w14:val="accent3"/>
                  </w14:solidFill>
                </w14:textFill>
              </w:rPr>
            </w:pPr>
          </w:p>
        </w:tc>
        <w:tc>
          <w:tcPr>
            <w:tcW w:w="591" w:type="dxa"/>
            <w:noWrap w:val="0"/>
            <w:vAlign w:val="center"/>
          </w:tcPr>
          <w:p>
            <w:pPr>
              <w:pStyle w:val="6"/>
              <w:bidi w:val="0"/>
              <w:rPr>
                <w:rFonts w:hint="default"/>
                <w:color w:val="auto"/>
                <w:lang w:val="en-US" w:eastAsia="zh-CN"/>
              </w:rPr>
            </w:pPr>
          </w:p>
        </w:tc>
        <w:tc>
          <w:tcPr>
            <w:tcW w:w="764" w:type="dxa"/>
            <w:noWrap w:val="0"/>
            <w:vAlign w:val="center"/>
          </w:tcPr>
          <w:p>
            <w:pPr>
              <w:pStyle w:val="6"/>
              <w:bidi w:val="0"/>
              <w:rPr>
                <w:rFonts w:hint="default"/>
                <w:color w:val="auto"/>
                <w:lang w:val="en-US" w:eastAsia="zh-CN"/>
              </w:rPr>
            </w:pPr>
          </w:p>
        </w:tc>
        <w:tc>
          <w:tcPr>
            <w:tcW w:w="986" w:type="dxa"/>
            <w:noWrap w:val="0"/>
            <w:vAlign w:val="center"/>
          </w:tcPr>
          <w:p>
            <w:pPr>
              <w:pStyle w:val="6"/>
              <w:bidi w:val="0"/>
              <w:rPr>
                <w:rFonts w:hint="default"/>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Pr>
        <w:tc>
          <w:tcPr>
            <w:tcW w:w="421" w:type="dxa"/>
            <w:noWrap w:val="0"/>
            <w:vAlign w:val="center"/>
          </w:tcPr>
          <w:p>
            <w:pPr>
              <w:pStyle w:val="6"/>
              <w:bidi w:val="0"/>
              <w:rPr>
                <w:rFonts w:hint="default"/>
                <w:color w:val="auto"/>
                <w:lang w:val="en-US" w:eastAsia="zh-CN"/>
              </w:rPr>
            </w:pPr>
            <w:r>
              <w:rPr>
                <w:rFonts w:hint="eastAsia"/>
                <w:color w:val="auto"/>
                <w:lang w:val="en-US" w:eastAsia="zh-CN"/>
              </w:rPr>
              <w:t>3</w:t>
            </w:r>
          </w:p>
        </w:tc>
        <w:tc>
          <w:tcPr>
            <w:tcW w:w="1743" w:type="dxa"/>
            <w:noWrap w:val="0"/>
            <w:vAlign w:val="center"/>
          </w:tcPr>
          <w:p>
            <w:pPr>
              <w:pStyle w:val="6"/>
              <w:bidi w:val="0"/>
              <w:rPr>
                <w:rFonts w:hint="eastAsia"/>
                <w:color w:val="auto"/>
                <w:lang w:val="en-US" w:eastAsia="zh-CN"/>
              </w:rPr>
            </w:pPr>
            <w:r>
              <w:rPr>
                <w:rFonts w:hint="eastAsia"/>
                <w:color w:val="auto"/>
                <w:lang w:val="en-US" w:eastAsia="zh-CN"/>
              </w:rPr>
              <w:t>充电桩待机功耗</w:t>
            </w:r>
          </w:p>
        </w:tc>
        <w:tc>
          <w:tcPr>
            <w:tcW w:w="724" w:type="dxa"/>
            <w:noWrap w:val="0"/>
            <w:vAlign w:val="center"/>
          </w:tcPr>
          <w:p>
            <w:pPr>
              <w:pStyle w:val="6"/>
              <w:bidi w:val="0"/>
              <w:rPr>
                <w:rFonts w:hint="default"/>
                <w:color w:val="auto"/>
                <w:lang w:val="en-US" w:eastAsia="zh-CN"/>
              </w:rPr>
            </w:pPr>
          </w:p>
        </w:tc>
        <w:tc>
          <w:tcPr>
            <w:tcW w:w="960" w:type="dxa"/>
            <w:noWrap w:val="0"/>
            <w:vAlign w:val="center"/>
          </w:tcPr>
          <w:p>
            <w:pPr>
              <w:pStyle w:val="6"/>
              <w:bidi w:val="0"/>
              <w:rPr>
                <w:rFonts w:hint="default"/>
                <w:color w:val="auto"/>
                <w:lang w:val="en-US" w:eastAsia="zh-CN"/>
              </w:rPr>
            </w:pPr>
          </w:p>
        </w:tc>
        <w:tc>
          <w:tcPr>
            <w:tcW w:w="471" w:type="dxa"/>
            <w:noWrap w:val="0"/>
            <w:vAlign w:val="center"/>
          </w:tcPr>
          <w:p>
            <w:pPr>
              <w:pStyle w:val="6"/>
              <w:bidi w:val="0"/>
              <w:rPr>
                <w:rFonts w:hint="default"/>
                <w:color w:val="auto"/>
                <w:lang w:val="en-US" w:eastAsia="zh-CN"/>
              </w:rPr>
            </w:pPr>
            <w:r>
              <w:rPr>
                <w:rFonts w:hint="eastAsia"/>
                <w:color w:val="auto"/>
                <w:lang w:val="en-US" w:eastAsia="zh-CN"/>
              </w:rPr>
              <w:t>0.7</w:t>
            </w:r>
            <w:r>
              <w:rPr>
                <w:rFonts w:hint="default"/>
                <w:color w:val="auto"/>
                <w:lang w:val="en-US" w:eastAsia="zh-CN"/>
              </w:rPr>
              <w:t xml:space="preserve"> </w:t>
            </w:r>
          </w:p>
        </w:tc>
        <w:tc>
          <w:tcPr>
            <w:tcW w:w="701" w:type="dxa"/>
            <w:noWrap w:val="0"/>
            <w:vAlign w:val="center"/>
          </w:tcPr>
          <w:p>
            <w:pPr>
              <w:pStyle w:val="6"/>
              <w:bidi w:val="0"/>
              <w:rPr>
                <w:rFonts w:hint="default"/>
                <w:color w:val="auto"/>
                <w:lang w:val="en-US" w:eastAsia="zh-CN"/>
              </w:rPr>
            </w:pPr>
          </w:p>
        </w:tc>
        <w:tc>
          <w:tcPr>
            <w:tcW w:w="981" w:type="dxa"/>
            <w:noWrap w:val="0"/>
            <w:vAlign w:val="center"/>
          </w:tcPr>
          <w:p>
            <w:pPr>
              <w:pStyle w:val="6"/>
              <w:bidi w:val="0"/>
              <w:rPr>
                <w:rFonts w:hint="default"/>
                <w:color w:val="A5A5A5" w:themeColor="accent3"/>
                <w:highlight w:val="none"/>
                <w:shd w:val="clear" w:color="auto" w:fill="auto"/>
                <w:lang w:val="en-US" w:eastAsia="zh-CN"/>
                <w14:textFill>
                  <w14:solidFill>
                    <w14:schemeClr w14:val="accent3"/>
                  </w14:solidFill>
                </w14:textFill>
              </w:rPr>
            </w:pPr>
          </w:p>
        </w:tc>
        <w:tc>
          <w:tcPr>
            <w:tcW w:w="591" w:type="dxa"/>
            <w:noWrap w:val="0"/>
            <w:vAlign w:val="center"/>
          </w:tcPr>
          <w:p>
            <w:pPr>
              <w:pStyle w:val="6"/>
              <w:bidi w:val="0"/>
              <w:rPr>
                <w:rFonts w:hint="default"/>
                <w:color w:val="auto"/>
                <w:lang w:val="en-US" w:eastAsia="zh-CN"/>
              </w:rPr>
            </w:pPr>
          </w:p>
        </w:tc>
        <w:tc>
          <w:tcPr>
            <w:tcW w:w="764" w:type="dxa"/>
            <w:noWrap w:val="0"/>
            <w:vAlign w:val="center"/>
          </w:tcPr>
          <w:p>
            <w:pPr>
              <w:pStyle w:val="6"/>
              <w:bidi w:val="0"/>
              <w:rPr>
                <w:rFonts w:hint="default"/>
                <w:color w:val="auto"/>
                <w:lang w:val="en-US" w:eastAsia="zh-CN"/>
              </w:rPr>
            </w:pPr>
          </w:p>
        </w:tc>
        <w:tc>
          <w:tcPr>
            <w:tcW w:w="986" w:type="dxa"/>
            <w:noWrap w:val="0"/>
            <w:vAlign w:val="center"/>
          </w:tcPr>
          <w:p>
            <w:pPr>
              <w:pStyle w:val="6"/>
              <w:bidi w:val="0"/>
              <w:rPr>
                <w:rFonts w:hint="default"/>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Pr>
        <w:tc>
          <w:tcPr>
            <w:tcW w:w="421" w:type="dxa"/>
            <w:noWrap w:val="0"/>
            <w:vAlign w:val="center"/>
          </w:tcPr>
          <w:p>
            <w:pPr>
              <w:pStyle w:val="6"/>
              <w:bidi w:val="0"/>
              <w:rPr>
                <w:rFonts w:hint="default"/>
                <w:color w:val="auto"/>
                <w:lang w:val="en-US" w:eastAsia="zh-CN"/>
              </w:rPr>
            </w:pPr>
            <w:r>
              <w:rPr>
                <w:rFonts w:hint="eastAsia"/>
                <w:color w:val="auto"/>
                <w:lang w:val="en-US" w:eastAsia="zh-CN"/>
              </w:rPr>
              <w:t>4</w:t>
            </w:r>
          </w:p>
        </w:tc>
        <w:tc>
          <w:tcPr>
            <w:tcW w:w="1743" w:type="dxa"/>
            <w:noWrap w:val="0"/>
            <w:vAlign w:val="center"/>
          </w:tcPr>
          <w:p>
            <w:pPr>
              <w:pStyle w:val="6"/>
              <w:bidi w:val="0"/>
              <w:rPr>
                <w:rFonts w:hint="default"/>
                <w:color w:val="auto"/>
                <w:lang w:val="en-US" w:eastAsia="zh-CN"/>
              </w:rPr>
            </w:pPr>
            <w:r>
              <w:rPr>
                <w:rFonts w:hint="eastAsia"/>
                <w:color w:val="auto"/>
                <w:lang w:val="en-US" w:eastAsia="zh-CN"/>
              </w:rPr>
              <w:t>...</w:t>
            </w:r>
          </w:p>
        </w:tc>
        <w:tc>
          <w:tcPr>
            <w:tcW w:w="724" w:type="dxa"/>
            <w:noWrap w:val="0"/>
            <w:vAlign w:val="center"/>
          </w:tcPr>
          <w:p>
            <w:pPr>
              <w:pStyle w:val="6"/>
              <w:bidi w:val="0"/>
              <w:rPr>
                <w:rFonts w:hint="default"/>
                <w:color w:val="auto"/>
                <w:lang w:val="en-US" w:eastAsia="zh-CN"/>
              </w:rPr>
            </w:pPr>
          </w:p>
        </w:tc>
        <w:tc>
          <w:tcPr>
            <w:tcW w:w="960" w:type="dxa"/>
            <w:noWrap w:val="0"/>
            <w:vAlign w:val="center"/>
          </w:tcPr>
          <w:p>
            <w:pPr>
              <w:pStyle w:val="6"/>
              <w:bidi w:val="0"/>
              <w:rPr>
                <w:rFonts w:hint="default"/>
                <w:color w:val="auto"/>
                <w:lang w:val="en-US" w:eastAsia="zh-CN"/>
              </w:rPr>
            </w:pPr>
          </w:p>
        </w:tc>
        <w:tc>
          <w:tcPr>
            <w:tcW w:w="471" w:type="dxa"/>
            <w:noWrap w:val="0"/>
            <w:vAlign w:val="center"/>
          </w:tcPr>
          <w:p>
            <w:pPr>
              <w:pStyle w:val="6"/>
              <w:bidi w:val="0"/>
              <w:rPr>
                <w:rFonts w:hint="eastAsia"/>
                <w:color w:val="auto"/>
                <w:lang w:val="en-US" w:eastAsia="zh-CN"/>
              </w:rPr>
            </w:pPr>
          </w:p>
        </w:tc>
        <w:tc>
          <w:tcPr>
            <w:tcW w:w="701" w:type="dxa"/>
            <w:noWrap w:val="0"/>
            <w:vAlign w:val="center"/>
          </w:tcPr>
          <w:p>
            <w:pPr>
              <w:pStyle w:val="6"/>
              <w:bidi w:val="0"/>
              <w:rPr>
                <w:rFonts w:hint="default"/>
                <w:color w:val="auto"/>
                <w:lang w:val="en-US" w:eastAsia="zh-CN"/>
              </w:rPr>
            </w:pPr>
          </w:p>
        </w:tc>
        <w:tc>
          <w:tcPr>
            <w:tcW w:w="981" w:type="dxa"/>
            <w:noWrap w:val="0"/>
            <w:vAlign w:val="center"/>
          </w:tcPr>
          <w:p>
            <w:pPr>
              <w:pStyle w:val="6"/>
              <w:bidi w:val="0"/>
              <w:rPr>
                <w:rFonts w:hint="default"/>
                <w:color w:val="A5A5A5" w:themeColor="accent3"/>
                <w:highlight w:val="none"/>
                <w:shd w:val="clear" w:color="auto" w:fill="auto"/>
                <w:lang w:val="en-US" w:eastAsia="zh-CN"/>
                <w14:textFill>
                  <w14:solidFill>
                    <w14:schemeClr w14:val="accent3"/>
                  </w14:solidFill>
                </w14:textFill>
              </w:rPr>
            </w:pPr>
          </w:p>
        </w:tc>
        <w:tc>
          <w:tcPr>
            <w:tcW w:w="591" w:type="dxa"/>
            <w:noWrap w:val="0"/>
            <w:vAlign w:val="center"/>
          </w:tcPr>
          <w:p>
            <w:pPr>
              <w:pStyle w:val="6"/>
              <w:bidi w:val="0"/>
              <w:rPr>
                <w:rFonts w:hint="default"/>
                <w:color w:val="auto"/>
                <w:lang w:val="en-US" w:eastAsia="zh-CN"/>
              </w:rPr>
            </w:pPr>
          </w:p>
        </w:tc>
        <w:tc>
          <w:tcPr>
            <w:tcW w:w="764" w:type="dxa"/>
            <w:noWrap w:val="0"/>
            <w:vAlign w:val="center"/>
          </w:tcPr>
          <w:p>
            <w:pPr>
              <w:pStyle w:val="6"/>
              <w:bidi w:val="0"/>
              <w:rPr>
                <w:rFonts w:hint="default"/>
                <w:color w:val="auto"/>
                <w:lang w:val="en-US" w:eastAsia="zh-CN"/>
              </w:rPr>
            </w:pPr>
          </w:p>
        </w:tc>
        <w:tc>
          <w:tcPr>
            <w:tcW w:w="986" w:type="dxa"/>
            <w:noWrap w:val="0"/>
            <w:vAlign w:val="center"/>
          </w:tcPr>
          <w:p>
            <w:pPr>
              <w:pStyle w:val="6"/>
              <w:bidi w:val="0"/>
              <w:rPr>
                <w:rFonts w:hint="default"/>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Pr>
        <w:tc>
          <w:tcPr>
            <w:tcW w:w="7356" w:type="dxa"/>
            <w:gridSpan w:val="9"/>
            <w:noWrap w:val="0"/>
            <w:vAlign w:val="center"/>
          </w:tcPr>
          <w:p>
            <w:pPr>
              <w:pStyle w:val="6"/>
              <w:bidi w:val="0"/>
              <w:jc w:val="center"/>
              <w:rPr>
                <w:rFonts w:hint="default"/>
                <w:color w:val="auto"/>
                <w:lang w:val="en-US" w:eastAsia="zh-CN"/>
              </w:rPr>
            </w:pPr>
            <w:r>
              <w:rPr>
                <w:rFonts w:hint="eastAsia"/>
                <w:color w:val="auto"/>
                <w:lang w:val="en-US" w:eastAsia="zh-CN"/>
              </w:rPr>
              <w:t>合计</w:t>
            </w:r>
          </w:p>
        </w:tc>
        <w:tc>
          <w:tcPr>
            <w:tcW w:w="986" w:type="dxa"/>
            <w:noWrap w:val="0"/>
            <w:vAlign w:val="center"/>
          </w:tcPr>
          <w:p>
            <w:pPr>
              <w:pStyle w:val="6"/>
              <w:bidi w:val="0"/>
              <w:rPr>
                <w:rFonts w:hint="default"/>
                <w:color w:val="auto"/>
                <w:lang w:val="en-US" w:eastAsia="zh-CN"/>
              </w:rPr>
            </w:pPr>
          </w:p>
        </w:tc>
      </w:tr>
    </w:tbl>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备注：根据《深圳市发展和改革委员会关于新能源汽车充电设施节能审查工作指引的通知》（深发改〔2020〕582号），充电站项目节能审查范围不包括新能源车辆充电量等非充电站自身运行所消耗的能源量。充电设施暂按30%的功率使用率计算综合能源消费量，因此项目充电桩使用期间的损耗用电需要系数取0.3。</w:t>
      </w:r>
    </w:p>
    <w:p>
      <w:pPr>
        <w:rPr>
          <w:rFonts w:hint="eastAsia" w:ascii="仿宋_GB2312" w:hAnsi="仿宋_GB2312" w:eastAsia="仿宋_GB2312" w:cs="仿宋_GB2312"/>
          <w:lang w:val="en-US" w:eastAsia="zh-CN"/>
        </w:rPr>
      </w:pPr>
    </w:p>
    <w:p>
      <w:pPr>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充电设备电力损耗</w:t>
      </w:r>
      <w:r>
        <w:rPr>
          <w:rFonts w:hint="eastAsia" w:asciiTheme="minorEastAsia" w:hAnsiTheme="minorEastAsia" w:eastAsiaTheme="minorEastAsia" w:cstheme="minorEastAsia"/>
          <w:lang w:val="en-US" w:eastAsia="zh-CN"/>
        </w:rPr>
        <w:t>参考计算公式：</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有功功率（kW）=数量（台）*单机功率（kW/台）*需要系数*用电损耗率</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年耗电量（万kW·h）=[有功功率（kW）*负载系数*年用电时间(h)]/10000</w:t>
      </w:r>
    </w:p>
    <w:p>
      <w:pPr>
        <w:rPr>
          <w:rFonts w:hint="eastAsia" w:ascii="仿宋_GB2312" w:hAnsi="仿宋_GB2312" w:eastAsia="仿宋_GB2312" w:cs="仿宋_GB2312"/>
          <w:lang w:val="en-US" w:eastAsia="zh-CN"/>
        </w:rPr>
      </w:pPr>
    </w:p>
    <w:p>
      <w:pPr>
        <w:pStyle w:val="4"/>
        <w:numPr>
          <w:ilvl w:val="0"/>
          <w:numId w:val="0"/>
        </w:numPr>
        <w:bidi w:val="0"/>
        <w:jc w:val="center"/>
        <w:rPr>
          <w:rFonts w:hint="eastAsia" w:ascii="楷体" w:hAnsi="楷体" w:eastAsia="楷体" w:cs="楷体"/>
          <w:b w:val="0"/>
          <w:bCs w:val="0"/>
          <w:color w:val="auto"/>
          <w:sz w:val="28"/>
          <w:szCs w:val="36"/>
          <w:lang w:eastAsia="zh-CN"/>
        </w:rPr>
      </w:pPr>
    </w:p>
    <w:p>
      <w:pPr>
        <w:pStyle w:val="4"/>
        <w:numPr>
          <w:ilvl w:val="0"/>
          <w:numId w:val="0"/>
        </w:numPr>
        <w:bidi w:val="0"/>
        <w:jc w:val="center"/>
        <w:rPr>
          <w:rFonts w:hint="eastAsia" w:ascii="楷体" w:hAnsi="楷体" w:eastAsia="楷体" w:cs="楷体"/>
          <w:b w:val="0"/>
          <w:bCs w:val="0"/>
          <w:color w:val="auto"/>
          <w:sz w:val="28"/>
          <w:szCs w:val="36"/>
          <w:lang w:eastAsia="zh-CN"/>
        </w:rPr>
      </w:pPr>
    </w:p>
    <w:p>
      <w:pPr>
        <w:pStyle w:val="4"/>
        <w:numPr>
          <w:ilvl w:val="0"/>
          <w:numId w:val="0"/>
        </w:numPr>
        <w:bidi w:val="0"/>
        <w:jc w:val="center"/>
        <w:rPr>
          <w:rFonts w:hint="eastAsia" w:ascii="楷体" w:hAnsi="楷体" w:eastAsia="楷体" w:cs="楷体"/>
          <w:b w:val="0"/>
          <w:bCs w:val="0"/>
          <w:color w:val="auto"/>
          <w:sz w:val="28"/>
          <w:szCs w:val="36"/>
          <w:lang w:eastAsia="zh-CN"/>
        </w:rPr>
      </w:pPr>
    </w:p>
    <w:p>
      <w:pPr>
        <w:pStyle w:val="4"/>
        <w:numPr>
          <w:ilvl w:val="0"/>
          <w:numId w:val="0"/>
        </w:numPr>
        <w:bidi w:val="0"/>
        <w:jc w:val="both"/>
        <w:rPr>
          <w:rFonts w:hint="eastAsia" w:ascii="楷体" w:hAnsi="楷体" w:eastAsia="楷体" w:cs="楷体"/>
          <w:b w:val="0"/>
          <w:bCs w:val="0"/>
          <w:color w:val="auto"/>
          <w:sz w:val="28"/>
          <w:szCs w:val="36"/>
          <w:lang w:eastAsia="zh-CN"/>
        </w:rPr>
      </w:pPr>
      <w:r>
        <w:rPr>
          <w:rFonts w:hint="eastAsia" w:ascii="楷体" w:hAnsi="楷体" w:eastAsia="楷体" w:cs="楷体"/>
          <w:b w:val="0"/>
          <w:bCs w:val="0"/>
          <w:color w:val="auto"/>
          <w:sz w:val="28"/>
          <w:szCs w:val="36"/>
          <w:lang w:val="en-US" w:eastAsia="zh-CN"/>
        </w:rPr>
        <w:t>2.</w:t>
      </w:r>
      <w:r>
        <w:rPr>
          <w:rFonts w:hint="eastAsia" w:ascii="楷体" w:hAnsi="楷体" w:eastAsia="楷体" w:cs="楷体"/>
          <w:b w:val="0"/>
          <w:bCs w:val="0"/>
          <w:color w:val="auto"/>
          <w:sz w:val="28"/>
          <w:szCs w:val="36"/>
          <w:lang w:eastAsia="zh-CN"/>
        </w:rPr>
        <w:t>变配电设备损耗</w:t>
      </w:r>
    </w:p>
    <w:tbl>
      <w:tblPr>
        <w:tblStyle w:val="2"/>
        <w:tblW w:w="8272" w:type="dxa"/>
        <w:tblInd w:w="0" w:type="dxa"/>
        <w:tblLayout w:type="fixed"/>
        <w:tblCellMar>
          <w:top w:w="0" w:type="dxa"/>
          <w:left w:w="0" w:type="dxa"/>
          <w:bottom w:w="0" w:type="dxa"/>
          <w:right w:w="0" w:type="dxa"/>
        </w:tblCellMar>
      </w:tblPr>
      <w:tblGrid>
        <w:gridCol w:w="869"/>
        <w:gridCol w:w="700"/>
        <w:gridCol w:w="513"/>
        <w:gridCol w:w="762"/>
        <w:gridCol w:w="775"/>
        <w:gridCol w:w="631"/>
        <w:gridCol w:w="870"/>
        <w:gridCol w:w="1080"/>
        <w:gridCol w:w="1033"/>
        <w:gridCol w:w="1039"/>
      </w:tblGrid>
      <w:tr>
        <w:tblPrEx>
          <w:tblCellMar>
            <w:top w:w="0" w:type="dxa"/>
            <w:left w:w="0" w:type="dxa"/>
            <w:bottom w:w="0" w:type="dxa"/>
            <w:right w:w="0" w:type="dxa"/>
          </w:tblCellMar>
        </w:tblPrEx>
        <w:trPr>
          <w:trHeight w:val="600" w:hRule="atLeast"/>
        </w:trPr>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eastAsia="楷体"/>
                <w:color w:val="auto"/>
                <w:lang w:val="en-US" w:eastAsia="zh-CN"/>
              </w:rPr>
            </w:pPr>
            <w:r>
              <w:rPr>
                <w:rFonts w:hint="eastAsia"/>
                <w:color w:val="auto"/>
                <w:lang w:val="en-US" w:eastAsia="zh-CN"/>
              </w:rPr>
              <w:t>设备名称</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eastAsia"/>
                <w:color w:val="auto"/>
                <w:lang w:val="en-US" w:eastAsia="zh-CN"/>
              </w:rPr>
            </w:pPr>
            <w:r>
              <w:rPr>
                <w:rFonts w:hint="eastAsia"/>
                <w:color w:val="auto"/>
                <w:lang w:val="en-US" w:eastAsia="zh-CN"/>
              </w:rPr>
              <w:t>设备</w:t>
            </w:r>
          </w:p>
          <w:p>
            <w:pPr>
              <w:pStyle w:val="6"/>
              <w:bidi w:val="0"/>
              <w:rPr>
                <w:rFonts w:hint="eastAsia"/>
                <w:color w:val="auto"/>
              </w:rPr>
            </w:pPr>
            <w:r>
              <w:rPr>
                <w:rFonts w:hint="eastAsia"/>
                <w:color w:val="auto"/>
                <w:lang w:val="en-US" w:eastAsia="zh-CN"/>
              </w:rPr>
              <w:t>容量</w:t>
            </w:r>
            <w:r>
              <w:rPr>
                <w:rFonts w:hint="eastAsia"/>
                <w:color w:val="auto"/>
                <w:sz w:val="16"/>
                <w:szCs w:val="18"/>
                <w:lang w:val="en-US" w:eastAsia="zh-CN"/>
              </w:rPr>
              <w:t>（kV</w:t>
            </w:r>
            <w:r>
              <w:rPr>
                <w:rFonts w:hint="eastAsia" w:ascii="仿宋_GB2312" w:hAnsi="仿宋_GB2312" w:eastAsia="仿宋_GB2312" w:cs="仿宋_GB2312"/>
                <w:sz w:val="20"/>
                <w:szCs w:val="21"/>
                <w:lang w:val="en-US" w:eastAsia="zh-CN"/>
              </w:rPr>
              <w:t>·</w:t>
            </w:r>
            <w:r>
              <w:rPr>
                <w:rFonts w:hint="eastAsia"/>
                <w:color w:val="auto"/>
                <w:sz w:val="16"/>
                <w:szCs w:val="18"/>
                <w:lang w:val="en-US" w:eastAsia="zh-CN"/>
              </w:rPr>
              <w:t>A）</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eastAsia"/>
                <w:color w:val="auto"/>
              </w:rPr>
            </w:pPr>
            <w:r>
              <w:rPr>
                <w:rFonts w:hint="eastAsia"/>
                <w:color w:val="auto"/>
                <w:lang w:val="en-US" w:eastAsia="zh-CN"/>
              </w:rPr>
              <w:t>数量</w:t>
            </w:r>
            <w:r>
              <w:rPr>
                <w:rFonts w:hint="eastAsia"/>
                <w:color w:val="auto"/>
                <w:sz w:val="18"/>
                <w:szCs w:val="20"/>
                <w:lang w:val="en-US" w:eastAsia="zh-CN"/>
              </w:rPr>
              <w:t>（台）</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eastAsia"/>
                <w:color w:val="auto"/>
              </w:rPr>
            </w:pPr>
            <w:r>
              <w:rPr>
                <w:rFonts w:hint="eastAsia"/>
                <w:color w:val="auto"/>
                <w:lang w:val="en-US" w:eastAsia="zh-CN"/>
              </w:rPr>
              <w:t>单机空载损耗（W）</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eastAsia"/>
                <w:color w:val="auto"/>
              </w:rPr>
            </w:pPr>
            <w:r>
              <w:rPr>
                <w:rFonts w:hint="eastAsia"/>
                <w:color w:val="auto"/>
                <w:lang w:val="en-US" w:eastAsia="zh-CN"/>
              </w:rPr>
              <w:t>单机负载损耗（W）</w:t>
            </w: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lang w:val="en-US" w:eastAsia="zh-CN"/>
              </w:rPr>
            </w:pPr>
            <w:r>
              <w:rPr>
                <w:rFonts w:hint="eastAsia"/>
                <w:color w:val="auto"/>
                <w:lang w:val="en-US" w:eastAsia="zh-CN"/>
              </w:rPr>
              <w:t>空载</w:t>
            </w:r>
          </w:p>
          <w:p>
            <w:pPr>
              <w:pStyle w:val="6"/>
              <w:bidi w:val="0"/>
              <w:rPr>
                <w:rFonts w:hint="eastAsia"/>
                <w:color w:val="auto"/>
              </w:rPr>
            </w:pPr>
            <w:r>
              <w:rPr>
                <w:rFonts w:hint="eastAsia"/>
                <w:color w:val="auto"/>
                <w:lang w:val="en-US" w:eastAsia="zh-CN"/>
              </w:rPr>
              <w:t>时间（h）</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r>
              <w:rPr>
                <w:rFonts w:hint="eastAsia"/>
                <w:color w:val="auto"/>
                <w:lang w:val="en-US" w:eastAsia="zh-CN"/>
              </w:rPr>
              <w:t>负载时间（h）</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r>
              <w:rPr>
                <w:rFonts w:hint="eastAsia"/>
                <w:color w:val="auto"/>
                <w:lang w:val="en-US" w:eastAsia="zh-CN"/>
              </w:rPr>
              <w:t>综合负载率</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eastAsia"/>
                <w:color w:val="auto"/>
              </w:rPr>
            </w:pPr>
            <w:r>
              <w:rPr>
                <w:rFonts w:hint="eastAsia"/>
                <w:color w:val="auto"/>
                <w:lang w:val="en-US" w:eastAsia="zh-CN"/>
              </w:rPr>
              <w:t>空载损耗</w:t>
            </w:r>
            <w:r>
              <w:rPr>
                <w:rFonts w:hint="eastAsia"/>
                <w:color w:val="auto"/>
                <w:sz w:val="18"/>
                <w:szCs w:val="20"/>
                <w:lang w:val="en-US" w:eastAsia="zh-CN"/>
              </w:rPr>
              <w:t>（万kW·h）</w:t>
            </w:r>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eastAsia"/>
                <w:color w:val="auto"/>
              </w:rPr>
            </w:pPr>
            <w:r>
              <w:rPr>
                <w:rFonts w:hint="eastAsia"/>
                <w:color w:val="auto"/>
                <w:lang w:val="en-US" w:eastAsia="zh-CN"/>
              </w:rPr>
              <w:t>负载损耗</w:t>
            </w:r>
            <w:r>
              <w:rPr>
                <w:rFonts w:hint="eastAsia"/>
                <w:color w:val="auto"/>
                <w:sz w:val="20"/>
                <w:szCs w:val="21"/>
                <w:lang w:val="en-US" w:eastAsia="zh-CN"/>
              </w:rPr>
              <w:t>（万</w:t>
            </w:r>
            <w:r>
              <w:rPr>
                <w:rFonts w:hint="eastAsia"/>
                <w:color w:val="auto"/>
                <w:sz w:val="18"/>
                <w:szCs w:val="20"/>
                <w:lang w:val="en-US" w:eastAsia="zh-CN"/>
              </w:rPr>
              <w:t>kW·h</w:t>
            </w:r>
            <w:r>
              <w:rPr>
                <w:rFonts w:hint="eastAsia"/>
                <w:color w:val="auto"/>
                <w:sz w:val="20"/>
                <w:szCs w:val="21"/>
                <w:lang w:val="en-US" w:eastAsia="zh-CN"/>
              </w:rPr>
              <w:t>）</w:t>
            </w:r>
          </w:p>
        </w:tc>
      </w:tr>
      <w:tr>
        <w:tblPrEx>
          <w:tblCellMar>
            <w:top w:w="0" w:type="dxa"/>
            <w:left w:w="0" w:type="dxa"/>
            <w:bottom w:w="0" w:type="dxa"/>
            <w:right w:w="0" w:type="dxa"/>
          </w:tblCellMar>
        </w:tblPrEx>
        <w:trPr>
          <w:trHeight w:val="90" w:hRule="atLeast"/>
        </w:trPr>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r>
              <w:rPr>
                <w:rFonts w:hint="eastAsia"/>
                <w:color w:val="auto"/>
                <w:lang w:val="en-US" w:eastAsia="zh-CN"/>
              </w:rPr>
              <w:t>变压器</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5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default"/>
                <w:color w:val="auto"/>
                <w:lang w:val="en-US" w:eastAsia="zh-CN"/>
              </w:rPr>
            </w:pP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default"/>
                <w:color w:val="auto"/>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lang w:val="en-US" w:eastAsia="zh-CN"/>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lang w:val="en-US" w:eastAsia="zh-CN"/>
              </w:rPr>
            </w:pPr>
          </w:p>
        </w:tc>
        <w:tc>
          <w:tcPr>
            <w:tcW w:w="1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lang w:val="en-US" w:eastAsia="zh-CN"/>
              </w:rPr>
            </w:pPr>
          </w:p>
        </w:tc>
      </w:tr>
      <w:tr>
        <w:tblPrEx>
          <w:tblCellMar>
            <w:top w:w="0" w:type="dxa"/>
            <w:left w:w="0" w:type="dxa"/>
            <w:bottom w:w="0" w:type="dxa"/>
            <w:right w:w="0" w:type="dxa"/>
          </w:tblCellMar>
        </w:tblPrEx>
        <w:trPr>
          <w:trHeight w:val="90" w:hRule="atLeast"/>
        </w:trPr>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r>
              <w:rPr>
                <w:rFonts w:hint="eastAsia"/>
                <w:color w:val="auto"/>
                <w:lang w:val="en-US" w:eastAsia="zh-CN"/>
              </w:rPr>
              <w:t>...</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5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default"/>
                <w:color w:val="auto"/>
                <w:lang w:val="en-US" w:eastAsia="zh-CN"/>
              </w:rPr>
            </w:pP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default"/>
                <w:color w:val="auto"/>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1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r>
      <w:tr>
        <w:tblPrEx>
          <w:tblCellMar>
            <w:top w:w="0" w:type="dxa"/>
            <w:left w:w="0" w:type="dxa"/>
            <w:bottom w:w="0" w:type="dxa"/>
            <w:right w:w="0" w:type="dxa"/>
          </w:tblCellMar>
        </w:tblPrEx>
        <w:trPr>
          <w:trHeight w:val="315" w:hRule="atLeast"/>
        </w:trPr>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lang w:val="en-US" w:eastAsia="zh-CN"/>
              </w:rPr>
            </w:pPr>
            <w:r>
              <w:rPr>
                <w:rFonts w:hint="eastAsia"/>
                <w:color w:val="auto"/>
                <w:lang w:val="en-US" w:eastAsia="zh-CN"/>
              </w:rPr>
              <w:t>总计</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p>
        </w:tc>
        <w:tc>
          <w:tcPr>
            <w:tcW w:w="5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p>
        </w:tc>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p>
        </w:tc>
        <w:tc>
          <w:tcPr>
            <w:tcW w:w="20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lang w:val="en-US" w:eastAsia="zh-CN"/>
              </w:rPr>
            </w:pPr>
          </w:p>
        </w:tc>
      </w:tr>
    </w:tbl>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备注：根据《三相配电变压器能效限定值及能效等级》（GB 20052-2013 ），干式配电变压器空载损耗和负载损耗值均应不高于干式配电变压器2级能效的规定。</w:t>
      </w:r>
    </w:p>
    <w:p>
      <w:pPr>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lang w:val="en-US" w:eastAsia="zh-CN"/>
        </w:rPr>
        <w:t>变压器有功损耗</w:t>
      </w:r>
      <w:r>
        <w:rPr>
          <w:rFonts w:hint="eastAsia" w:asciiTheme="minorEastAsia" w:hAnsiTheme="minorEastAsia" w:cstheme="minorEastAsia"/>
          <w:lang w:val="en-US" w:eastAsia="zh-CN"/>
        </w:rPr>
        <w:t>参考</w:t>
      </w:r>
      <w:r>
        <w:rPr>
          <w:rFonts w:hint="eastAsia" w:asciiTheme="minorEastAsia" w:hAnsiTheme="minorEastAsia" w:eastAsiaTheme="minorEastAsia" w:cstheme="minorEastAsia"/>
          <w:lang w:val="en-US" w:eastAsia="zh-CN"/>
        </w:rPr>
        <w:t>计算公式：</w:t>
      </w:r>
      <w:r>
        <w:rPr>
          <w:rFonts w:hint="eastAsia" w:asciiTheme="minorEastAsia" w:hAnsiTheme="minorEastAsia" w:eastAsiaTheme="minorEastAsia" w:cstheme="minorEastAsia"/>
          <w:color w:val="auto"/>
          <w:position w:val="-12"/>
        </w:rPr>
        <w:object>
          <v:shape id="_x0000_i1025" o:spt="75" type="#_x0000_t75" style="height:14.15pt;width:147.85pt;" o:ole="t" filled="f" o:preferrelative="t" stroked="f" coordsize="21600,21600">
            <v:path/>
            <v:fill on="f" focussize="0,0"/>
            <v:stroke on="f"/>
            <v:imagedata r:id="rId5" o:title=""/>
            <o:lock v:ext="edit" aspectratio="t"/>
            <w10:wrap type="none"/>
            <w10:anchorlock/>
          </v:shape>
          <o:OLEObject Type="Embed" ProgID="Equation.3" ShapeID="_x0000_i1025" DrawAspect="Content" ObjectID="_1468075725" r:id="rId4">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object>
          <v:shape id="_x0000_i1026" o:spt="75" type="#_x0000_t75" style="height:14.15pt;width:15.35pt;" o:ole="t" filled="f" o:preferrelative="t" stroked="f" coordsize="21600,21600">
            <v:path/>
            <v:fill on="f" focussize="0,0"/>
            <v:stroke on="f"/>
            <v:imagedata r:id="rId7" o:title=""/>
            <o:lock v:ext="edit" aspectratio="t"/>
            <w10:wrap type="none"/>
            <w10:anchorlock/>
          </v:shape>
          <o:OLEObject Type="Embed" ProgID="Equation.3" ShapeID="_x0000_i1026" DrawAspect="Content" ObjectID="_1468075726" r:id="rId6">
            <o:LockedField>false</o:LockedField>
          </o:OLEObject>
        </w:object>
      </w:r>
      <w:r>
        <w:rPr>
          <w:rFonts w:hint="eastAsia" w:asciiTheme="minorEastAsia" w:hAnsiTheme="minorEastAsia" w:eastAsiaTheme="minorEastAsia" w:cstheme="minorEastAsia"/>
          <w:lang w:val="en-US" w:eastAsia="zh-CN"/>
        </w:rPr>
        <w:t>为变压器空载有功损耗（</w:t>
      </w:r>
      <w:r>
        <w:rPr>
          <w:rFonts w:hint="eastAsia" w:asciiTheme="minorEastAsia" w:hAnsiTheme="minorEastAsia" w:cstheme="minorEastAsia"/>
          <w:lang w:val="en-US" w:eastAsia="zh-CN"/>
        </w:rPr>
        <w:t>k</w:t>
      </w:r>
      <w:r>
        <w:rPr>
          <w:rFonts w:hint="eastAsia" w:asciiTheme="minorEastAsia" w:hAnsiTheme="minorEastAsia" w:eastAsiaTheme="minorEastAsia" w:cstheme="minorEastAsia"/>
          <w:lang w:val="en-US" w:eastAsia="zh-CN"/>
        </w:rPr>
        <w:t>W）=[数量（台）*单机空载损耗（W）]/1000；</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object>
          <v:shape id="_x0000_i1027" o:spt="75" type="#_x0000_t75" style="height:14.15pt;width:10pt;" o:ole="t" filled="f" o:preferrelative="t" stroked="f" coordsize="21600,21600">
            <v:path/>
            <v:fill on="f" focussize="0,0"/>
            <v:stroke on="f"/>
            <v:imagedata r:id="rId9" o:title=""/>
            <o:lock v:ext="edit" aspectratio="t"/>
            <w10:wrap type="none"/>
            <w10:anchorlock/>
          </v:shape>
          <o:OLEObject Type="Embed" ProgID="Equation.3" ShapeID="_x0000_i1027" DrawAspect="Content" ObjectID="_1468075727" r:id="rId8">
            <o:LockedField>false</o:LockedField>
          </o:OLEObject>
        </w:object>
      </w:r>
      <w:r>
        <w:rPr>
          <w:rFonts w:hint="eastAsia" w:asciiTheme="minorEastAsia" w:hAnsiTheme="minorEastAsia" w:eastAsiaTheme="minorEastAsia" w:cstheme="minorEastAsia"/>
          <w:lang w:val="en-US" w:eastAsia="zh-CN"/>
        </w:rPr>
        <w:t>为变压器全年投入运行小时数</w:t>
      </w:r>
      <w:r>
        <w:rPr>
          <w:rFonts w:hint="eastAsia" w:asciiTheme="minorEastAsia" w:hAnsiTheme="minorEastAsia" w:cstheme="minorEastAsia"/>
          <w:lang w:val="en-US" w:eastAsia="zh-CN"/>
        </w:rPr>
        <w:t>（h）</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object>
          <v:shape id="_x0000_i1028" o:spt="75" type="#_x0000_t75" style="height:14.15pt;width:19.3pt;" o:ole="t" filled="f" o:preferrelative="t" stroked="f" coordsize="21600,21600">
            <v:path/>
            <v:fill on="f" focussize="0,0"/>
            <v:stroke on="f"/>
            <v:imagedata r:id="rId11" o:title=""/>
            <o:lock v:ext="edit" aspectratio="t"/>
            <w10:wrap type="none"/>
            <w10:anchorlock/>
          </v:shape>
          <o:OLEObject Type="Embed" ProgID="Equation.3" ShapeID="_x0000_i1028" DrawAspect="Content" ObjectID="_1468075728" r:id="rId10">
            <o:LockedField>false</o:LockedField>
          </o:OLEObject>
        </w:object>
      </w:r>
      <w:r>
        <w:rPr>
          <w:rFonts w:hint="eastAsia" w:asciiTheme="minorEastAsia" w:hAnsiTheme="minorEastAsia" w:eastAsiaTheme="minorEastAsia" w:cstheme="minorEastAsia"/>
          <w:lang w:val="en-US" w:eastAsia="zh-CN"/>
        </w:rPr>
        <w:t>为变压器满载有功损耗（</w:t>
      </w:r>
      <w:r>
        <w:rPr>
          <w:rFonts w:hint="eastAsia" w:asciiTheme="minorEastAsia" w:hAnsiTheme="minorEastAsia" w:cstheme="minorEastAsia"/>
          <w:lang w:val="en-US" w:eastAsia="zh-CN"/>
        </w:rPr>
        <w:t>k</w:t>
      </w:r>
      <w:r>
        <w:rPr>
          <w:rFonts w:hint="eastAsia" w:asciiTheme="minorEastAsia" w:hAnsiTheme="minorEastAsia" w:eastAsiaTheme="minorEastAsia" w:cstheme="minorEastAsia"/>
          <w:lang w:val="en-US" w:eastAsia="zh-CN"/>
        </w:rPr>
        <w:t>W）=[数量（台）*单机负载损耗（W）]/1000；</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object>
          <v:shape id="_x0000_i1029" o:spt="75" type="#_x0000_t75" style="height:14.15pt;width:10.8pt;" o:ole="t" filled="f" o:preferrelative="t" stroked="f" coordsize="21600,21600">
            <v:path/>
            <v:fill on="f" focussize="0,0"/>
            <v:stroke on="f"/>
            <v:imagedata r:id="rId13" o:title=""/>
            <o:lock v:ext="edit" aspectratio="t"/>
            <w10:wrap type="none"/>
            <w10:anchorlock/>
          </v:shape>
          <o:OLEObject Type="Embed" ProgID="Equation.3" ShapeID="_x0000_i1029" DrawAspect="Content" ObjectID="_1468075729" r:id="rId12">
            <o:LockedField>false</o:LockedField>
          </o:OLEObject>
        </w:object>
      </w:r>
      <w:r>
        <w:rPr>
          <w:rFonts w:hint="eastAsia" w:asciiTheme="minorEastAsia" w:hAnsiTheme="minorEastAsia" w:eastAsiaTheme="minorEastAsia" w:cstheme="minorEastAsia"/>
          <w:lang w:val="en-US" w:eastAsia="zh-CN"/>
        </w:rPr>
        <w:t>为变压器负载率；</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object>
          <v:shape id="_x0000_i1030" o:spt="75" type="#_x0000_t75" style="height:14.15pt;width:10.3pt;" o:ole="t" filled="f" o:preferrelative="t" stroked="f" coordsize="21600,21600">
            <v:path/>
            <v:fill on="f" focussize="0,0"/>
            <v:stroke on="f"/>
            <v:imagedata r:id="rId15" o:title=""/>
            <o:lock v:ext="edit" aspectratio="t"/>
            <w10:wrap type="none"/>
            <w10:anchorlock/>
          </v:shape>
          <o:OLEObject Type="Embed" ProgID="Equation.3" ShapeID="_x0000_i1030" DrawAspect="Content" ObjectID="_1468075730" r:id="rId14">
            <o:LockedField>false</o:LockedField>
          </o:OLEObject>
        </w:object>
      </w:r>
      <w:r>
        <w:rPr>
          <w:rFonts w:hint="eastAsia" w:asciiTheme="minorEastAsia" w:hAnsiTheme="minorEastAsia" w:eastAsiaTheme="minorEastAsia" w:cstheme="minorEastAsia"/>
          <w:lang w:val="en-US" w:eastAsia="zh-CN"/>
        </w:rPr>
        <w:t>为最大符合年损耗小时数</w:t>
      </w:r>
      <w:r>
        <w:rPr>
          <w:rFonts w:hint="eastAsia" w:asciiTheme="minorEastAsia" w:hAnsiTheme="minorEastAsia" w:cstheme="minorEastAsia"/>
          <w:lang w:val="en-US" w:eastAsia="zh-CN"/>
        </w:rPr>
        <w:t>（h）</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lang w:val="en-US" w:eastAsia="zh-CN"/>
        </w:rPr>
      </w:pPr>
    </w:p>
    <w:p>
      <w:pPr>
        <w:pStyle w:val="4"/>
        <w:numPr>
          <w:ilvl w:val="0"/>
          <w:numId w:val="0"/>
        </w:numPr>
        <w:bidi w:val="0"/>
        <w:ind w:leftChars="0"/>
        <w:jc w:val="both"/>
        <w:rPr>
          <w:rFonts w:hint="eastAsia" w:ascii="楷体" w:hAnsi="楷体" w:eastAsia="楷体" w:cs="楷体"/>
          <w:b w:val="0"/>
          <w:bCs w:val="0"/>
          <w:color w:val="auto"/>
          <w:sz w:val="28"/>
          <w:szCs w:val="36"/>
          <w:lang w:val="en-US" w:eastAsia="zh-CN"/>
        </w:rPr>
      </w:pPr>
      <w:r>
        <w:rPr>
          <w:rFonts w:hint="eastAsia" w:ascii="楷体" w:hAnsi="楷体" w:eastAsia="楷体" w:cs="楷体"/>
          <w:b w:val="0"/>
          <w:bCs w:val="0"/>
          <w:color w:val="auto"/>
          <w:sz w:val="28"/>
          <w:szCs w:val="36"/>
          <w:lang w:val="en-US" w:eastAsia="zh-CN"/>
        </w:rPr>
        <w:t>3.电力线缆损耗</w:t>
      </w:r>
    </w:p>
    <w:tbl>
      <w:tblPr>
        <w:tblStyle w:val="2"/>
        <w:tblW w:w="8282" w:type="dxa"/>
        <w:tblInd w:w="0" w:type="dxa"/>
        <w:tblLayout w:type="fixed"/>
        <w:tblCellMar>
          <w:top w:w="0" w:type="dxa"/>
          <w:left w:w="0" w:type="dxa"/>
          <w:bottom w:w="0" w:type="dxa"/>
          <w:right w:w="0" w:type="dxa"/>
        </w:tblCellMar>
      </w:tblPr>
      <w:tblGrid>
        <w:gridCol w:w="1116"/>
        <w:gridCol w:w="2388"/>
        <w:gridCol w:w="2388"/>
        <w:gridCol w:w="2390"/>
      </w:tblGrid>
      <w:tr>
        <w:tblPrEx>
          <w:tblCellMar>
            <w:top w:w="0" w:type="dxa"/>
            <w:left w:w="0" w:type="dxa"/>
            <w:bottom w:w="0" w:type="dxa"/>
            <w:right w:w="0" w:type="dxa"/>
          </w:tblCellMar>
        </w:tblPrEx>
        <w:trPr>
          <w:trHeight w:val="600" w:hRule="atLeast"/>
        </w:trPr>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eastAsia="楷体"/>
                <w:color w:val="auto"/>
                <w:lang w:val="en-US" w:eastAsia="zh-CN"/>
              </w:rPr>
            </w:pPr>
            <w:r>
              <w:rPr>
                <w:rFonts w:hint="eastAsia"/>
                <w:color w:val="auto"/>
                <w:lang w:val="en-US" w:eastAsia="zh-CN"/>
              </w:rPr>
              <w:t>损耗单元</w:t>
            </w:r>
          </w:p>
        </w:tc>
        <w:tc>
          <w:tcPr>
            <w:tcW w:w="2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eastAsia"/>
                <w:color w:val="auto"/>
              </w:rPr>
            </w:pPr>
            <w:r>
              <w:rPr>
                <w:rFonts w:hint="eastAsia"/>
                <w:color w:val="auto"/>
                <w:lang w:val="en-US" w:eastAsia="zh-CN"/>
              </w:rPr>
              <w:t>线路有功功率损耗（kW）</w:t>
            </w:r>
          </w:p>
        </w:tc>
        <w:tc>
          <w:tcPr>
            <w:tcW w:w="2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r>
              <w:rPr>
                <w:rFonts w:hint="eastAsia"/>
                <w:color w:val="auto"/>
                <w:lang w:val="en-US" w:eastAsia="zh-CN"/>
              </w:rPr>
              <w:t>年损耗时间（h）</w:t>
            </w:r>
          </w:p>
        </w:tc>
        <w:tc>
          <w:tcPr>
            <w:tcW w:w="2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eastAsia" w:eastAsia="楷体"/>
                <w:color w:val="auto"/>
                <w:lang w:eastAsia="zh-CN"/>
              </w:rPr>
            </w:pPr>
            <w:r>
              <w:rPr>
                <w:rFonts w:hint="eastAsia"/>
                <w:color w:val="auto"/>
              </w:rPr>
              <w:t>输送线路电能损耗</w:t>
            </w:r>
            <w:r>
              <w:rPr>
                <w:rFonts w:hint="eastAsia"/>
                <w:color w:val="auto"/>
                <w:lang w:eastAsia="zh-CN"/>
              </w:rPr>
              <w:t>（</w:t>
            </w:r>
            <w:r>
              <w:rPr>
                <w:rFonts w:hint="eastAsia"/>
                <w:color w:val="auto"/>
                <w:sz w:val="18"/>
                <w:szCs w:val="20"/>
                <w:lang w:val="en-US" w:eastAsia="zh-CN"/>
              </w:rPr>
              <w:t>kW·h</w:t>
            </w:r>
            <w:r>
              <w:rPr>
                <w:rFonts w:hint="eastAsia"/>
                <w:color w:val="auto"/>
                <w:lang w:eastAsia="zh-CN"/>
              </w:rPr>
              <w:t>）</w:t>
            </w:r>
          </w:p>
        </w:tc>
      </w:tr>
      <w:tr>
        <w:tblPrEx>
          <w:tblCellMar>
            <w:top w:w="0" w:type="dxa"/>
            <w:left w:w="0" w:type="dxa"/>
            <w:bottom w:w="0" w:type="dxa"/>
            <w:right w:w="0" w:type="dxa"/>
          </w:tblCellMar>
        </w:tblPrEx>
        <w:trPr>
          <w:trHeight w:val="722" w:hRule="atLeast"/>
        </w:trPr>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r>
              <w:rPr>
                <w:rFonts w:hint="eastAsia"/>
                <w:color w:val="auto"/>
                <w:lang w:val="en-US" w:eastAsia="zh-CN"/>
              </w:rPr>
              <w:t>电力线缆</w:t>
            </w:r>
          </w:p>
        </w:tc>
        <w:tc>
          <w:tcPr>
            <w:tcW w:w="2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default"/>
                <w:color w:val="auto"/>
                <w:lang w:val="en-US" w:eastAsia="zh-CN"/>
              </w:rPr>
            </w:pPr>
          </w:p>
        </w:tc>
        <w:tc>
          <w:tcPr>
            <w:tcW w:w="2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2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lang w:val="en-US" w:eastAsia="zh-CN"/>
              </w:rPr>
            </w:pPr>
          </w:p>
        </w:tc>
      </w:tr>
    </w:tbl>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备注：由于输送线路的选材和线路长度最终取决于设计方案，能评阶段，线路长度未知，线路中有功功率损耗按本项目计算有功功率的1.0%计算。</w:t>
      </w:r>
    </w:p>
    <w:p>
      <w:pPr>
        <w:numPr>
          <w:ilvl w:val="0"/>
          <w:numId w:val="0"/>
        </w:numPr>
        <w:rPr>
          <w:rFonts w:hint="eastAsia"/>
          <w:lang w:val="en-US" w:eastAsia="zh-CN"/>
        </w:rPr>
      </w:pPr>
    </w:p>
    <w:p>
      <w:pPr>
        <w:rPr>
          <w:rFonts w:hint="eastAsia"/>
          <w:color w:val="auto"/>
        </w:rPr>
      </w:pPr>
      <w:r>
        <w:rPr>
          <w:rFonts w:hint="eastAsia"/>
          <w:color w:val="auto"/>
        </w:rPr>
        <w:t>输送线路电能损耗</w:t>
      </w:r>
      <w:r>
        <w:rPr>
          <w:rFonts w:hint="eastAsia"/>
          <w:color w:val="auto"/>
          <w:lang w:eastAsia="zh-CN"/>
        </w:rPr>
        <w:t>参考计算公式</w:t>
      </w:r>
      <w:r>
        <w:rPr>
          <w:rFonts w:hint="eastAsia"/>
          <w:color w:val="auto"/>
        </w:rPr>
        <w:t>：</w:t>
      </w:r>
      <w:r>
        <w:rPr>
          <w:rFonts w:hint="eastAsia"/>
          <w:color w:val="auto"/>
          <w:position w:val="-10"/>
        </w:rPr>
        <w:object>
          <v:shape id="_x0000_i1031" o:spt="75" type="#_x0000_t75" style="height:14.15pt;width:97.55pt;" o:ole="t" filled="f" o:preferrelative="t" stroked="f" coordsize="21600,21600">
            <v:path/>
            <v:fill on="f" focussize="0,0"/>
            <v:stroke on="f"/>
            <v:imagedata r:id="rId17" o:title=""/>
            <o:lock v:ext="edit" aspectratio="t"/>
            <w10:wrap type="none"/>
            <w10:anchorlock/>
          </v:shape>
          <o:OLEObject Type="Embed" ProgID="Equation.3" ShapeID="_x0000_i1031" DrawAspect="Content" ObjectID="_1468075731" r:id="rId16">
            <o:LockedField>false</o:LockedField>
          </o:OLEObject>
        </w:objec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object>
          <v:shape id="_x0000_i1032" o:spt="75" type="#_x0000_t75" style="height:16.5pt;width:21pt;" o:ole="t" filled="f" o:preferrelative="t" stroked="f" coordsize="21600,21600">
            <v:path/>
            <v:fill on="f" focussize="0,0"/>
            <v:stroke on="f" joinstyle="miter"/>
            <v:imagedata r:id="rId19" o:title=""/>
            <o:lock v:ext="edit" aspectratio="t"/>
            <w10:wrap type="none"/>
            <w10:anchorlock/>
          </v:shape>
          <o:OLEObject Type="Embed" ProgID="Equation.3" ShapeID="_x0000_i1032" DrawAspect="Content" ObjectID="_1468075732" r:id="rId18">
            <o:LockedField>false</o:LockedField>
          </o:OLEObject>
        </w:object>
      </w:r>
      <w:r>
        <w:rPr>
          <w:rFonts w:hint="eastAsia" w:asciiTheme="minorEastAsia" w:hAnsiTheme="minorEastAsia" w:eastAsiaTheme="minorEastAsia" w:cstheme="minorEastAsia"/>
          <w:color w:val="auto"/>
        </w:rPr>
        <w:t>为线路中有功功率损耗</w:t>
      </w:r>
      <w:r>
        <w:rPr>
          <w:rFonts w:hint="eastAsia" w:asciiTheme="minorEastAsia" w:hAnsiTheme="minorEastAsia" w:cstheme="minorEastAsia"/>
          <w:color w:val="auto"/>
          <w:lang w:eastAsia="zh-CN"/>
        </w:rPr>
        <w:t>（</w:t>
      </w:r>
      <w:r>
        <w:rPr>
          <w:rFonts w:hint="eastAsia" w:asciiTheme="minorEastAsia" w:hAnsiTheme="minorEastAsia" w:eastAsiaTheme="minorEastAsia" w:cstheme="minorEastAsia"/>
          <w:color w:val="auto"/>
        </w:rPr>
        <w:t>kW</w:t>
      </w:r>
      <w:r>
        <w:rPr>
          <w:rFonts w:hint="eastAsia" w:asciiTheme="minorEastAsia" w:hAnsiTheme="minorEastAsia" w:cstheme="minorEastAsia"/>
          <w:color w:val="auto"/>
          <w:lang w:eastAsia="zh-CN"/>
        </w:rPr>
        <w:t>）</w:t>
      </w:r>
      <w:r>
        <w:rPr>
          <w:rFonts w:hint="eastAsia" w:asciiTheme="minorEastAsia" w:hAnsiTheme="minorEastAsia" w:cstheme="minorEastAsia"/>
          <w:color w:val="auto"/>
          <w:lang w:val="en-US" w:eastAsia="zh-CN"/>
        </w:rPr>
        <w:t>=项目有功功率（kW）*1.0%</w:t>
      </w:r>
      <w:r>
        <w:rPr>
          <w:rFonts w:hint="eastAsia" w:asciiTheme="minorEastAsia" w:hAnsiTheme="minorEastAsia" w:eastAsiaTheme="minorEastAsia" w:cstheme="minorEastAsia"/>
          <w:color w:val="auto"/>
        </w:rPr>
        <w:t>；</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object>
          <v:shape id="_x0000_i1033" o:spt="75" type="#_x0000_t75" style="height:11.25pt;width:9.75pt;" o:ole="t" filled="f" o:preferrelative="t" stroked="f" coordsize="21600,21600">
            <v:path/>
            <v:fill on="f" focussize="0,0"/>
            <v:stroke on="f" joinstyle="miter"/>
            <v:imagedata r:id="rId21" o:title=""/>
            <o:lock v:ext="edit" aspectratio="t"/>
            <w10:wrap type="none"/>
            <w10:anchorlock/>
          </v:shape>
          <o:OLEObject Type="Embed" ProgID="Equation.3" ShapeID="_x0000_i1033" DrawAspect="Content" ObjectID="_1468075733" r:id="rId20">
            <o:LockedField>false</o:LockedField>
          </o:OLEObject>
        </w:object>
      </w:r>
      <w:r>
        <w:rPr>
          <w:rFonts w:hint="eastAsia" w:asciiTheme="minorEastAsia" w:hAnsiTheme="minorEastAsia" w:eastAsiaTheme="minorEastAsia" w:cstheme="minorEastAsia"/>
          <w:color w:val="auto"/>
        </w:rPr>
        <w:t>为最大符合年损耗小时数</w:t>
      </w:r>
      <w:r>
        <w:rPr>
          <w:rFonts w:hint="eastAsia" w:asciiTheme="minorEastAsia" w:hAnsiTheme="minorEastAsia" w:cstheme="minorEastAsia"/>
          <w:color w:val="auto"/>
          <w:lang w:eastAsia="zh-CN"/>
        </w:rPr>
        <w:t>（</w:t>
      </w:r>
      <w:r>
        <w:rPr>
          <w:rFonts w:hint="eastAsia" w:asciiTheme="minorEastAsia" w:hAnsiTheme="minorEastAsia" w:eastAsiaTheme="minorEastAsia" w:cstheme="minorEastAsia"/>
          <w:color w:val="auto"/>
        </w:rPr>
        <w:t>h</w:t>
      </w:r>
      <w:r>
        <w:rPr>
          <w:rFonts w:hint="eastAsia" w:asciiTheme="minorEastAsia" w:hAnsiTheme="minorEastAsia" w:cstheme="minorEastAsia"/>
          <w:color w:val="auto"/>
          <w:lang w:eastAsia="zh-CN"/>
        </w:rPr>
        <w:t>）</w:t>
      </w:r>
      <w:r>
        <w:rPr>
          <w:rFonts w:hint="eastAsia" w:asciiTheme="minorEastAsia" w:hAnsiTheme="minorEastAsia" w:eastAsiaTheme="minorEastAsia" w:cstheme="minorEastAsia"/>
          <w:color w:val="auto"/>
        </w:rPr>
        <w:t>；</w:t>
      </w:r>
    </w:p>
    <w:p>
      <w:pPr>
        <w:rPr>
          <w:rFonts w:hint="eastAsia"/>
          <w:color w:val="auto"/>
        </w:rPr>
      </w:pPr>
    </w:p>
    <w:p>
      <w:pPr>
        <w:pStyle w:val="4"/>
        <w:numPr>
          <w:ilvl w:val="0"/>
          <w:numId w:val="2"/>
        </w:numPr>
        <w:tabs>
          <w:tab w:val="clear" w:pos="312"/>
        </w:tabs>
        <w:bidi w:val="0"/>
        <w:ind w:leftChars="0"/>
        <w:jc w:val="both"/>
        <w:rPr>
          <w:rFonts w:hint="eastAsia"/>
          <w:color w:val="auto"/>
          <w:lang w:val="en-US" w:eastAsia="zh-CN"/>
        </w:rPr>
      </w:pPr>
      <w:r>
        <w:rPr>
          <w:rFonts w:hint="eastAsia" w:ascii="楷体" w:hAnsi="楷体" w:eastAsia="楷体" w:cs="楷体"/>
          <w:b w:val="0"/>
          <w:bCs w:val="0"/>
          <w:color w:val="auto"/>
          <w:sz w:val="28"/>
          <w:szCs w:val="36"/>
          <w:lang w:val="en-US" w:eastAsia="zh-CN"/>
        </w:rPr>
        <w:t>空调、照明、监控、通风、给排水等辅助设备或其他设备电力消耗</w:t>
      </w:r>
    </w:p>
    <w:p>
      <w:pPr>
        <w:ind w:firstLine="630" w:firstLineChars="300"/>
        <w:rPr>
          <w:rFonts w:hint="eastAsia" w:ascii="仿宋_GB2312" w:hAnsi="仿宋_GB2312" w:eastAsia="仿宋_GB2312" w:cs="仿宋_GB2312"/>
          <w:lang w:val="en-US" w:eastAsia="zh-CN"/>
        </w:rPr>
      </w:pPr>
      <w:r>
        <w:rPr>
          <w:rFonts w:hint="eastAsia" w:ascii="仿宋_GB2312" w:hAnsi="仿宋_GB2312" w:eastAsia="仿宋_GB2312" w:cs="仿宋_GB2312"/>
          <w:color w:val="auto"/>
          <w:lang w:val="en-US" w:eastAsia="zh-CN"/>
        </w:rPr>
        <w:t>备注：</w:t>
      </w:r>
      <w:r>
        <w:rPr>
          <w:rFonts w:hint="eastAsia" w:ascii="仿宋_GB2312" w:hAnsi="仿宋_GB2312" w:eastAsia="仿宋_GB2312" w:cs="仿宋_GB2312"/>
          <w:color w:val="auto"/>
          <w:lang w:eastAsia="zh-CN"/>
        </w:rPr>
        <w:t>空调、通风、照明、给排水等其它辅助设备应符合</w:t>
      </w:r>
      <w:r>
        <w:rPr>
          <w:rFonts w:hint="eastAsia" w:ascii="仿宋_GB2312" w:hAnsi="仿宋_GB2312" w:eastAsia="仿宋_GB2312" w:cs="仿宋_GB2312"/>
          <w:color w:val="auto"/>
        </w:rPr>
        <w:t>《公共建筑节能设计标准》（GB 50189-2015）、《公共建筑节能设计规范》（SJG 44- 2018）</w:t>
      </w:r>
      <w:r>
        <w:rPr>
          <w:rFonts w:hint="eastAsia" w:ascii="仿宋_GB2312" w:hAnsi="仿宋_GB2312" w:eastAsia="仿宋_GB2312" w:cs="仿宋_GB2312"/>
          <w:color w:val="auto"/>
          <w:lang w:eastAsia="zh-CN"/>
        </w:rPr>
        <w:t>等规定，各项电力消耗</w:t>
      </w:r>
      <w:r>
        <w:rPr>
          <w:rFonts w:hint="eastAsia" w:ascii="仿宋_GB2312" w:hAnsi="仿宋_GB2312" w:eastAsia="仿宋_GB2312" w:cs="仿宋_GB2312"/>
          <w:color w:val="auto"/>
          <w:lang w:val="en-US" w:eastAsia="zh-CN"/>
        </w:rPr>
        <w:t>根据</w:t>
      </w:r>
      <w:r>
        <w:rPr>
          <w:rFonts w:hint="eastAsia" w:ascii="仿宋_GB2312" w:hAnsi="仿宋_GB2312" w:eastAsia="仿宋_GB2312" w:cs="仿宋_GB2312"/>
          <w:lang w:val="en-US" w:eastAsia="zh-CN"/>
        </w:rPr>
        <w:t>实际进行计算。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536002"/>
    <w:multiLevelType w:val="singleLevel"/>
    <w:tmpl w:val="EB536002"/>
    <w:lvl w:ilvl="0" w:tentative="0">
      <w:start w:val="4"/>
      <w:numFmt w:val="decimal"/>
      <w:lvlText w:val="%1."/>
      <w:lvlJc w:val="left"/>
      <w:pPr>
        <w:tabs>
          <w:tab w:val="left" w:pos="312"/>
        </w:tabs>
      </w:pPr>
    </w:lvl>
  </w:abstractNum>
  <w:abstractNum w:abstractNumId="1">
    <w:nsid w:val="F51C119E"/>
    <w:multiLevelType w:val="singleLevel"/>
    <w:tmpl w:val="F51C119E"/>
    <w:lvl w:ilvl="0" w:tentative="0">
      <w:start w:val="1"/>
      <w:numFmt w:val="decimal"/>
      <w:pStyle w:val="4"/>
      <w:suff w:val="nothing"/>
      <w:lvlText w:val="表%1："/>
      <w:lvlJc w:val="center"/>
      <w:pPr>
        <w:tabs>
          <w:tab w:val="left" w:pos="0"/>
        </w:tabs>
        <w:ind w:left="0" w:firstLine="0"/>
      </w:pPr>
      <w:rPr>
        <w:rFonts w:hint="default" w:ascii="Times New Roman" w:hAnsi="Times New Roman" w:eastAsia="宋体" w:cs="宋体"/>
        <w:b/>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7072A"/>
    <w:rsid w:val="1A816281"/>
    <w:rsid w:val="1B9E7465"/>
    <w:rsid w:val="1D266FEC"/>
    <w:rsid w:val="35BE006C"/>
    <w:rsid w:val="3B8A3331"/>
    <w:rsid w:val="3CF85BF5"/>
    <w:rsid w:val="3EE715AF"/>
    <w:rsid w:val="43B20B94"/>
    <w:rsid w:val="45197193"/>
    <w:rsid w:val="558B5358"/>
    <w:rsid w:val="56E54DD8"/>
    <w:rsid w:val="57FC1E07"/>
    <w:rsid w:val="5FB73D81"/>
    <w:rsid w:val="67372FDC"/>
    <w:rsid w:val="78807C91"/>
    <w:rsid w:val="FD3B5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序表格F10"/>
    <w:basedOn w:val="1"/>
    <w:next w:val="1"/>
    <w:qFormat/>
    <w:uiPriority w:val="0"/>
    <w:pPr>
      <w:widowControl w:val="0"/>
      <w:numPr>
        <w:ilvl w:val="0"/>
        <w:numId w:val="1"/>
      </w:numPr>
      <w:spacing w:before="50" w:beforeLines="50" w:line="240" w:lineRule="auto"/>
      <w:ind w:firstLine="0" w:firstLineChars="0"/>
      <w:jc w:val="center"/>
    </w:pPr>
    <w:rPr>
      <w:rFonts w:ascii="Times New Roman" w:hAnsi="Times New Roman"/>
      <w:b/>
      <w:bCs/>
    </w:rPr>
  </w:style>
  <w:style w:type="paragraph" w:customStyle="1" w:styleId="5">
    <w:name w:val="表格F2"/>
    <w:qFormat/>
    <w:uiPriority w:val="0"/>
    <w:pPr>
      <w:spacing w:line="240" w:lineRule="auto"/>
      <w:ind w:firstLine="0" w:firstLineChars="0"/>
      <w:jc w:val="center"/>
    </w:pPr>
    <w:rPr>
      <w:rFonts w:ascii="Times New Roman" w:hAnsi="Times New Roman" w:eastAsia="楷体" w:cs="Times New Roman"/>
      <w:sz w:val="24"/>
      <w:szCs w:val="22"/>
    </w:rPr>
  </w:style>
  <w:style w:type="paragraph" w:customStyle="1" w:styleId="6">
    <w:name w:val="表格五F3"/>
    <w:basedOn w:val="5"/>
    <w:qFormat/>
    <w:uiPriority w:val="0"/>
    <w:pPr>
      <w:adjustRightInd w:val="0"/>
      <w:snapToGrid w:val="0"/>
      <w:ind w:firstLine="0" w:firstLineChars="0"/>
    </w:pPr>
    <w:rPr>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2020-09-24T17:38:00Z</dcterms:created>
  <dc:creator>Administrator</dc:creator>
  <cp:lastModifiedBy>张舒铭</cp:lastModifiedBy>
  <cp:lastPrinted>2020-09-29T14:48:00Z</cp:lastPrinted>
  <dcterms:modified xsi:type="dcterms:W3CDTF">2022-11-28T15:45:17Z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