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4"/>
        </w:rPr>
      </w:pPr>
      <w:r>
        <w:rPr>
          <w:rFonts w:hint="eastAsia" w:ascii="仿宋_GB2312" w:eastAsia="仿宋_GB2312"/>
          <w:sz w:val="24"/>
        </w:rPr>
        <w:t>附件</w:t>
      </w:r>
      <w:r>
        <w:rPr>
          <w:rFonts w:ascii="仿宋_GB2312" w:eastAsia="仿宋_GB2312"/>
          <w:sz w:val="24"/>
        </w:rPr>
        <w:t>1</w:t>
      </w: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spacing w:line="360" w:lineRule="auto"/>
        <w:rPr>
          <w:rFonts w:ascii="仿宋_GB2312" w:eastAsia="仿宋_GB2312"/>
          <w:sz w:val="44"/>
          <w:szCs w:val="44"/>
        </w:rPr>
      </w:pPr>
    </w:p>
    <w:p>
      <w:pPr>
        <w:numPr>
          <w:ins w:id="0" w:author="Unknown" w:date=""/>
        </w:numPr>
        <w:jc w:val="center"/>
        <w:rPr>
          <w:rFonts w:ascii="宋体" w:hAnsi="宋体"/>
          <w:sz w:val="44"/>
          <w:szCs w:val="44"/>
        </w:rPr>
      </w:pPr>
      <w:r>
        <w:rPr>
          <w:rFonts w:ascii="宋体" w:hAnsi="宋体"/>
          <w:sz w:val="44"/>
          <w:szCs w:val="44"/>
        </w:rPr>
        <w:t>20</w:t>
      </w:r>
      <w:r>
        <w:rPr>
          <w:rFonts w:hint="eastAsia" w:ascii="宋体" w:hAnsi="宋体"/>
          <w:sz w:val="44"/>
          <w:szCs w:val="44"/>
          <w:lang w:val="en-US" w:eastAsia="zh-CN"/>
        </w:rPr>
        <w:t>20</w:t>
      </w:r>
      <w:r>
        <w:rPr>
          <w:rFonts w:ascii="宋体" w:hAnsi="宋体"/>
          <w:sz w:val="44"/>
          <w:szCs w:val="44"/>
        </w:rPr>
        <w:t>年</w:t>
      </w:r>
      <w:r>
        <w:rPr>
          <w:rFonts w:hint="eastAsia" w:ascii="宋体" w:hAnsi="宋体"/>
          <w:sz w:val="44"/>
          <w:szCs w:val="44"/>
        </w:rPr>
        <w:t>度部门</w:t>
      </w:r>
      <w:r>
        <w:rPr>
          <w:rFonts w:ascii="宋体" w:hAnsi="宋体"/>
          <w:sz w:val="44"/>
          <w:szCs w:val="44"/>
        </w:rPr>
        <w:t>整体绩效自评报告</w:t>
      </w:r>
    </w:p>
    <w:p>
      <w:pPr>
        <w:spacing w:line="360" w:lineRule="auto"/>
        <w:jc w:val="center"/>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1600" w:firstLineChars="500"/>
        <w:rPr>
          <w:rFonts w:ascii="仿宋_GB2312" w:eastAsia="仿宋_GB2312"/>
          <w:sz w:val="32"/>
          <w:szCs w:val="32"/>
        </w:rPr>
      </w:pPr>
      <w:r>
        <w:rPr>
          <w:rFonts w:hint="eastAsia" w:ascii="仿宋_GB2312" w:eastAsia="仿宋_GB2312"/>
          <w:sz w:val="32"/>
          <w:szCs w:val="32"/>
        </w:rPr>
        <w:t>部门名称（公章）：</w:t>
      </w:r>
      <w:r>
        <w:rPr>
          <w:rFonts w:hint="eastAsia" w:ascii="仿宋_GB2312" w:eastAsia="仿宋_GB2312" w:cs="仿宋_GB2312"/>
          <w:sz w:val="32"/>
          <w:szCs w:val="32"/>
          <w:lang w:eastAsia="zh-CN"/>
        </w:rPr>
        <w:t>深圳市龙岗区工商业联合会</w:t>
      </w:r>
    </w:p>
    <w:p>
      <w:pPr>
        <w:spacing w:line="360" w:lineRule="auto"/>
        <w:ind w:firstLine="1600" w:firstLineChars="500"/>
        <w:rPr>
          <w:rFonts w:hint="eastAsia" w:ascii="仿宋_GB2312" w:eastAsia="仿宋_GB2312"/>
          <w:sz w:val="32"/>
          <w:szCs w:val="32"/>
          <w:lang w:eastAsia="zh-CN"/>
        </w:rPr>
      </w:pPr>
      <w:r>
        <w:rPr>
          <w:rFonts w:hint="eastAsia" w:ascii="仿宋_GB2312" w:eastAsia="仿宋_GB2312"/>
          <w:sz w:val="32"/>
          <w:szCs w:val="32"/>
        </w:rPr>
        <w:t>填</w:t>
      </w:r>
      <w:r>
        <w:rPr>
          <w:rFonts w:hint="eastAsia" w:ascii="仿宋_GB2312" w:eastAsia="仿宋_GB2312"/>
          <w:sz w:val="32"/>
          <w:szCs w:val="32"/>
          <w:lang w:val="en-US" w:eastAsia="zh-CN"/>
        </w:rPr>
        <w:t xml:space="preserve"> </w:t>
      </w:r>
      <w:r>
        <w:rPr>
          <w:rFonts w:hint="eastAsia" w:ascii="仿宋_GB2312" w:eastAsia="仿宋_GB2312"/>
          <w:sz w:val="32"/>
          <w:szCs w:val="32"/>
        </w:rPr>
        <w:t>报</w:t>
      </w:r>
      <w:r>
        <w:rPr>
          <w:rFonts w:hint="eastAsia" w:ascii="仿宋_GB2312" w:eastAsia="仿宋_GB2312"/>
          <w:sz w:val="32"/>
          <w:szCs w:val="32"/>
          <w:lang w:val="en-US" w:eastAsia="zh-CN"/>
        </w:rPr>
        <w:t xml:space="preserve"> </w:t>
      </w:r>
      <w:r>
        <w:rPr>
          <w:rFonts w:hint="eastAsia" w:ascii="仿宋_GB2312" w:eastAsia="仿宋_GB2312"/>
          <w:sz w:val="32"/>
          <w:szCs w:val="32"/>
        </w:rPr>
        <w:t>人：</w:t>
      </w:r>
      <w:r>
        <w:rPr>
          <w:rFonts w:hint="eastAsia" w:ascii="仿宋_GB2312" w:eastAsia="仿宋_GB2312"/>
          <w:sz w:val="32"/>
          <w:szCs w:val="32"/>
          <w:lang w:eastAsia="zh-CN"/>
        </w:rPr>
        <w:t>刘文利</w:t>
      </w:r>
    </w:p>
    <w:p>
      <w:pPr>
        <w:spacing w:line="360" w:lineRule="auto"/>
        <w:ind w:firstLine="1600" w:firstLineChars="500"/>
        <w:rPr>
          <w:rFonts w:hint="eastAsia" w:ascii="仿宋_GB2312" w:eastAsia="仿宋_GB2312"/>
          <w:sz w:val="32"/>
          <w:szCs w:val="32"/>
          <w:lang w:val="en-US" w:eastAsia="zh-CN"/>
        </w:rPr>
      </w:pPr>
      <w:r>
        <w:rPr>
          <w:rFonts w:hint="eastAsia" w:ascii="仿宋_GB2312" w:eastAsia="仿宋_GB2312"/>
          <w:sz w:val="32"/>
          <w:szCs w:val="32"/>
        </w:rPr>
        <w:t>联系电话：</w:t>
      </w:r>
      <w:r>
        <w:rPr>
          <w:rFonts w:hint="default" w:ascii="仿宋_GB2312" w:eastAsia="仿宋_GB2312"/>
          <w:sz w:val="32"/>
          <w:szCs w:val="32"/>
        </w:rPr>
        <w:t>0755-</w:t>
      </w:r>
      <w:bookmarkStart w:id="0" w:name="_GoBack"/>
      <w:bookmarkEnd w:id="0"/>
      <w:r>
        <w:rPr>
          <w:rFonts w:hint="eastAsia" w:ascii="仿宋_GB2312" w:eastAsia="仿宋_GB2312"/>
          <w:sz w:val="32"/>
          <w:szCs w:val="32"/>
          <w:lang w:val="en-US" w:eastAsia="zh-CN"/>
        </w:rPr>
        <w:t>28951922</w:t>
      </w:r>
    </w:p>
    <w:p>
      <w:pPr>
        <w:spacing w:line="360" w:lineRule="auto"/>
        <w:ind w:firstLine="1600" w:firstLineChars="500"/>
        <w:rPr>
          <w:rFonts w:hint="default" w:ascii="仿宋_GB2312" w:eastAsia="仿宋_GB2312"/>
          <w:sz w:val="32"/>
          <w:szCs w:val="32"/>
          <w:lang w:val="en-US" w:eastAsia="zh-CN"/>
        </w:rPr>
      </w:pPr>
    </w:p>
    <w:p>
      <w:pPr>
        <w:jc w:val="center"/>
        <w:rPr>
          <w:rFonts w:ascii="仿宋_GB2312" w:eastAsia="仿宋_GB2312"/>
          <w:sz w:val="32"/>
          <w:szCs w:val="32"/>
        </w:rPr>
      </w:pPr>
    </w:p>
    <w:p>
      <w:pPr>
        <w:jc w:val="center"/>
        <w:rPr>
          <w:rFonts w:ascii="宋体" w:hAnsi="宋体"/>
          <w:sz w:val="44"/>
          <w:szCs w:val="44"/>
        </w:rPr>
      </w:pPr>
    </w:p>
    <w:p>
      <w:pPr>
        <w:jc w:val="center"/>
        <w:rPr>
          <w:rFonts w:ascii="宋体" w:hAnsi="宋体"/>
          <w:sz w:val="44"/>
          <w:szCs w:val="44"/>
        </w:rPr>
      </w:pPr>
    </w:p>
    <w:p>
      <w:pPr>
        <w:rPr>
          <w:rFonts w:ascii="宋体" w:hAnsi="宋体"/>
          <w:sz w:val="44"/>
          <w:szCs w:val="44"/>
        </w:rPr>
      </w:pPr>
    </w:p>
    <w:p>
      <w:pPr>
        <w:rPr>
          <w:rFonts w:ascii="宋体" w:hAnsi="宋体"/>
          <w:sz w:val="44"/>
          <w:szCs w:val="44"/>
        </w:rPr>
      </w:pPr>
    </w:p>
    <w:p>
      <w:pPr>
        <w:snapToGrid w:val="0"/>
        <w:spacing w:line="540" w:lineRule="exact"/>
        <w:rPr>
          <w:rFonts w:ascii="宋体" w:hAnsi="宋体"/>
          <w:sz w:val="44"/>
          <w:szCs w:val="44"/>
        </w:rPr>
      </w:pPr>
      <w:r>
        <w:rPr>
          <w:rFonts w:hint="eastAsia" w:ascii="宋体" w:hAnsi="宋体"/>
          <w:sz w:val="44"/>
          <w:szCs w:val="44"/>
        </w:rPr>
        <w:t xml:space="preserve"> </w:t>
      </w:r>
      <w:r>
        <w:rPr>
          <w:rFonts w:ascii="宋体" w:hAnsi="宋体"/>
          <w:sz w:val="44"/>
          <w:szCs w:val="44"/>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一、部门（单位）基本情况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（一）部门主要职能。</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lang w:eastAsia="zh-CN"/>
        </w:rPr>
        <w:t>贯彻执行国家、省、市财政、税收、财务、会计管理等方面的法律、法规和政策。龙岗区工商业联合会主要职能：</w:t>
      </w:r>
      <w:r>
        <w:rPr>
          <w:rFonts w:hint="eastAsia" w:ascii="仿宋_GB2312" w:hAnsi="Times New Roman" w:eastAsia="仿宋_GB2312" w:cs="仿宋_GB2312"/>
          <w:sz w:val="32"/>
          <w:szCs w:val="32"/>
          <w:lang w:val="en-US" w:eastAsia="zh-CN"/>
        </w:rPr>
        <w:t>1.</w:t>
      </w:r>
      <w:r>
        <w:rPr>
          <w:rFonts w:hint="eastAsia" w:ascii="仿宋_GB2312" w:hAnsi="Times New Roman" w:eastAsia="仿宋_GB2312" w:cs="仿宋_GB2312"/>
          <w:sz w:val="32"/>
          <w:szCs w:val="32"/>
          <w:lang w:eastAsia="zh-CN"/>
        </w:rPr>
        <w:t>积极参政议政，参与龙岗区政治、经济、社会生活中的重要问题的政治协商，发挥民主监督作用；</w:t>
      </w: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lang w:eastAsia="zh-CN"/>
        </w:rPr>
        <w:t>密切与会员的联系，代表并维护会员的合法权益，反映会员的意见、要求和建议；</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lang w:eastAsia="zh-CN"/>
        </w:rPr>
        <w:t>加强和改进非公有制经济人士思想政治工作；</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lang w:eastAsia="zh-CN"/>
        </w:rPr>
        <w:t>引导会员按照科学发展观的要求，转变经济发展方式，加强能源资源节约，重视生态环境保护，建立和谐劳动关系。遵守国家的法律、法规，规范经营、照章纳税，建立现代企业制度，维护市场经济秩序；</w:t>
      </w:r>
      <w:r>
        <w:rPr>
          <w:rFonts w:hint="eastAsia" w:ascii="仿宋_GB2312" w:hAnsi="Times New Roman" w:eastAsia="仿宋_GB2312" w:cs="仿宋_GB2312"/>
          <w:sz w:val="32"/>
          <w:szCs w:val="32"/>
          <w:lang w:val="en-US" w:eastAsia="zh-CN"/>
        </w:rPr>
        <w:t>5.</w:t>
      </w:r>
      <w:r>
        <w:rPr>
          <w:rFonts w:hint="eastAsia" w:ascii="仿宋_GB2312" w:hAnsi="Times New Roman" w:eastAsia="仿宋_GB2312" w:cs="仿宋_GB2312"/>
          <w:sz w:val="32"/>
          <w:szCs w:val="32"/>
          <w:lang w:eastAsia="zh-CN"/>
        </w:rPr>
        <w:t>为会员提供培训、融资、科技、法律、信息咨询等服务，提供对内、对外经贸交流服务，提供公共关系沟通协调服务，帮助会员增强自主创新能力，提高核心竞争力和可持续发展能力；</w:t>
      </w:r>
      <w:r>
        <w:rPr>
          <w:rFonts w:hint="eastAsia" w:ascii="仿宋_GB2312" w:hAnsi="Times New Roman" w:eastAsia="仿宋_GB2312" w:cs="仿宋_GB2312"/>
          <w:sz w:val="32"/>
          <w:szCs w:val="32"/>
          <w:lang w:val="en-US" w:eastAsia="zh-CN"/>
        </w:rPr>
        <w:t>6.</w:t>
      </w:r>
      <w:r>
        <w:rPr>
          <w:rFonts w:hint="eastAsia" w:ascii="仿宋_GB2312" w:hAnsi="Times New Roman" w:eastAsia="仿宋_GB2312" w:cs="仿宋_GB2312"/>
          <w:sz w:val="32"/>
          <w:szCs w:val="32"/>
          <w:lang w:eastAsia="zh-CN"/>
        </w:rPr>
        <w:t>调查研究并反映非公有制经济代表人士、新的社会阶层人士的情况，提出相关政策建议。联系并培养非公有制经济代表人士和新社会阶层的代表人物；</w:t>
      </w:r>
      <w:r>
        <w:rPr>
          <w:rFonts w:hint="eastAsia" w:ascii="仿宋_GB2312" w:hAnsi="Times New Roman" w:eastAsia="仿宋_GB2312" w:cs="仿宋_GB2312"/>
          <w:sz w:val="32"/>
          <w:szCs w:val="32"/>
          <w:lang w:val="en-US" w:eastAsia="zh-CN"/>
        </w:rPr>
        <w:t>7.</w:t>
      </w:r>
      <w:r>
        <w:rPr>
          <w:rFonts w:hint="eastAsia" w:ascii="仿宋_GB2312" w:hAnsi="Times New Roman" w:eastAsia="仿宋_GB2312" w:cs="仿宋_GB2312"/>
          <w:sz w:val="32"/>
          <w:szCs w:val="32"/>
          <w:lang w:eastAsia="zh-CN"/>
        </w:rPr>
        <w:t>协助政府管理和服务非公有制经济。参加促进非公有制经济和中小企业发展工作的领导机构和协调机制，参与中小企业服务体系建设。开展民间外交，加强与境外工商界的交流与合作；</w:t>
      </w:r>
      <w:r>
        <w:rPr>
          <w:rFonts w:hint="eastAsia" w:ascii="仿宋_GB2312" w:hAnsi="Times New Roman" w:eastAsia="仿宋_GB2312" w:cs="仿宋_GB2312"/>
          <w:sz w:val="32"/>
          <w:szCs w:val="32"/>
          <w:lang w:val="en-US" w:eastAsia="zh-CN"/>
        </w:rPr>
        <w:t>8.</w:t>
      </w:r>
      <w:r>
        <w:rPr>
          <w:rFonts w:hint="eastAsia" w:ascii="仿宋_GB2312" w:hAnsi="Times New Roman" w:eastAsia="仿宋_GB2312" w:cs="仿宋_GB2312"/>
          <w:sz w:val="32"/>
          <w:szCs w:val="32"/>
          <w:lang w:eastAsia="zh-CN"/>
        </w:rPr>
        <w:t>指导基层工商联和行业商会、同业商会开展工作；</w:t>
      </w:r>
      <w:r>
        <w:rPr>
          <w:rFonts w:hint="eastAsia" w:ascii="仿宋_GB2312" w:hAnsi="Times New Roman" w:eastAsia="仿宋_GB2312" w:cs="仿宋_GB2312"/>
          <w:sz w:val="32"/>
          <w:szCs w:val="32"/>
          <w:lang w:val="en-US" w:eastAsia="zh-CN"/>
        </w:rPr>
        <w:t>9.</w:t>
      </w:r>
      <w:r>
        <w:rPr>
          <w:rFonts w:hint="eastAsia" w:ascii="仿宋_GB2312" w:hAnsi="Times New Roman" w:eastAsia="仿宋_GB2312" w:cs="仿宋_GB2312"/>
          <w:sz w:val="32"/>
          <w:szCs w:val="32"/>
          <w:lang w:eastAsia="zh-CN"/>
        </w:rPr>
        <w:t>承办区委、区政府及上级有关部门交办的其他事项。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cs="仿宋_GB2312"/>
          <w:sz w:val="32"/>
          <w:szCs w:val="32"/>
          <w:lang w:eastAsia="zh-CN"/>
        </w:rPr>
      </w:pPr>
      <w:r>
        <w:rPr>
          <w:rFonts w:hint="eastAsia" w:ascii="仿宋_GB2312" w:hAnsi="Times New Roman" w:eastAsia="仿宋_GB2312" w:cs="仿宋_GB2312"/>
          <w:sz w:val="32"/>
          <w:szCs w:val="32"/>
          <w:lang w:eastAsia="zh-CN"/>
        </w:rPr>
        <w:t>中共深圳市龙岗区非公有制经济组织委员会主要职能:</w:t>
      </w:r>
      <w:r>
        <w:rPr>
          <w:rFonts w:hint="eastAsia" w:ascii="仿宋_GB2312" w:hAnsi="Times New Roman" w:eastAsia="仿宋_GB2312" w:cs="仿宋_GB2312"/>
          <w:sz w:val="32"/>
          <w:szCs w:val="32"/>
          <w:lang w:val="en-US" w:eastAsia="zh-CN"/>
        </w:rPr>
        <w:t>1.</w:t>
      </w:r>
      <w:r>
        <w:rPr>
          <w:rFonts w:hint="eastAsia" w:ascii="仿宋_GB2312" w:hAnsi="Times New Roman" w:eastAsia="仿宋_GB2312" w:cs="仿宋_GB2312"/>
          <w:sz w:val="32"/>
          <w:szCs w:val="32"/>
          <w:lang w:eastAsia="zh-CN"/>
        </w:rPr>
        <w:t>贯彻落实中央、省委、市委、区委两新组织工委关于非公有制经济组织党建工作的方针、政策；</w:t>
      </w:r>
      <w:r>
        <w:rPr>
          <w:rFonts w:hint="eastAsia" w:ascii="仿宋_GB2312" w:hAnsi="Times New Roman" w:eastAsia="仿宋_GB2312" w:cs="仿宋_GB2312"/>
          <w:sz w:val="32"/>
          <w:szCs w:val="32"/>
          <w:lang w:val="en-US" w:eastAsia="zh-CN"/>
        </w:rPr>
        <w:t>2.</w:t>
      </w:r>
      <w:r>
        <w:rPr>
          <w:rFonts w:hint="eastAsia" w:ascii="仿宋_GB2312" w:hAnsi="Times New Roman" w:eastAsia="仿宋_GB2312" w:cs="仿宋_GB2312"/>
          <w:sz w:val="32"/>
          <w:szCs w:val="32"/>
          <w:lang w:eastAsia="zh-CN"/>
        </w:rPr>
        <w:t>抓好直属党组织的思想建设、组织建设、作风建设、制度建设，做好党员教育、管理、服务和发展党员工作，推动党组织和党员发挥作用，督促检查直属党组织党建工作的规划、政策和重点任务落实情况；</w:t>
      </w:r>
      <w:r>
        <w:rPr>
          <w:rFonts w:hint="eastAsia" w:ascii="仿宋_GB2312" w:hAnsi="Times New Roman" w:eastAsia="仿宋_GB2312" w:cs="仿宋_GB2312"/>
          <w:sz w:val="32"/>
          <w:szCs w:val="32"/>
          <w:lang w:val="en-US" w:eastAsia="zh-CN"/>
        </w:rPr>
        <w:t>3.</w:t>
      </w:r>
      <w:r>
        <w:rPr>
          <w:rFonts w:hint="eastAsia" w:ascii="仿宋_GB2312" w:hAnsi="Times New Roman" w:eastAsia="仿宋_GB2312" w:cs="仿宋_GB2312"/>
          <w:sz w:val="32"/>
          <w:szCs w:val="32"/>
          <w:lang w:eastAsia="zh-CN"/>
        </w:rPr>
        <w:t>决定直属党组织的设立，隶属关系调整、撤销、合并和换届选举等有关事项，做好我区知名非公企业党组织的组建工作；</w:t>
      </w:r>
      <w:r>
        <w:rPr>
          <w:rFonts w:hint="eastAsia" w:ascii="仿宋_GB2312" w:hAnsi="Times New Roman" w:eastAsia="仿宋_GB2312" w:cs="仿宋_GB2312"/>
          <w:sz w:val="32"/>
          <w:szCs w:val="32"/>
          <w:lang w:val="en-US" w:eastAsia="zh-CN"/>
        </w:rPr>
        <w:t>4.</w:t>
      </w:r>
      <w:r>
        <w:rPr>
          <w:rFonts w:hint="eastAsia" w:ascii="仿宋_GB2312" w:hAnsi="Times New Roman" w:eastAsia="仿宋_GB2312" w:cs="仿宋_GB2312"/>
          <w:sz w:val="32"/>
          <w:szCs w:val="32"/>
          <w:lang w:eastAsia="zh-CN"/>
        </w:rPr>
        <w:t>承办区委两新组织工委交办的其他任务。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（二）年度总体工作和重点工作任务。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区工商联2020年度总体工作和重点工作任务：1.</w:t>
      </w:r>
      <w:r>
        <w:rPr>
          <w:rFonts w:hint="eastAsia" w:ascii="仿宋_GB2312" w:hAnsi="仿宋_GB2312" w:eastAsia="仿宋_GB2312" w:cs="仿宋_GB2312"/>
          <w:sz w:val="32"/>
          <w:szCs w:val="32"/>
        </w:rPr>
        <w:t>发挥职能作用，疫情防控保障有力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坚持政治引领，筑牢思想政治基础；3.筑牢组织基础，激发工商联组织活力；4.抓摸排、推组建，增强非公党建组织力；5.建机制、调结构，培育巩固非公党建示范点；6.抓管理、强保障，有序推进各项党建基础工作；7.围绕“双年”部署，抓好机关作风建设；8.聚焦精准扶贫，推动企业履行社会责任</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楷体" w:hAnsi="楷体" w:eastAsia="楷体" w:cs="仿宋_GB2312"/>
          <w:sz w:val="32"/>
          <w:szCs w:val="32"/>
        </w:rPr>
      </w:pPr>
      <w:r>
        <w:rPr>
          <w:rFonts w:hint="eastAsia" w:ascii="楷体" w:hAnsi="楷体" w:eastAsia="楷体" w:cs="仿宋_GB2312"/>
          <w:sz w:val="32"/>
          <w:szCs w:val="32"/>
        </w:rPr>
        <w:t>（三）20</w:t>
      </w:r>
      <w:r>
        <w:rPr>
          <w:rFonts w:hint="eastAsia" w:ascii="楷体" w:hAnsi="楷体" w:eastAsia="楷体" w:cs="仿宋_GB2312"/>
          <w:sz w:val="32"/>
          <w:szCs w:val="32"/>
          <w:lang w:val="en-US" w:eastAsia="zh-CN"/>
        </w:rPr>
        <w:t>20</w:t>
      </w:r>
      <w:r>
        <w:rPr>
          <w:rFonts w:hint="eastAsia" w:ascii="楷体" w:hAnsi="楷体" w:eastAsia="楷体" w:cs="仿宋_GB2312"/>
          <w:sz w:val="32"/>
          <w:szCs w:val="32"/>
        </w:rPr>
        <w:t>年部门预算编制情况。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我单位预算符合财政部门关于预算编制的要求和规范，绩效目标紧紧围绕我单位职能职责设立，设立依据充分、符合客观实际，制定的绩效目标清晰、细化、可量化，反映了我单位履职目标。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楷体" w:hAnsi="楷体" w:eastAsia="楷体" w:cs="楷体_GB2312"/>
          <w:bCs/>
          <w:sz w:val="32"/>
          <w:szCs w:val="32"/>
        </w:rPr>
      </w:pPr>
      <w:r>
        <w:rPr>
          <w:rFonts w:hint="eastAsia" w:ascii="楷体" w:hAnsi="楷体" w:eastAsia="楷体" w:cs="楷体_GB2312"/>
          <w:bCs/>
          <w:sz w:val="32"/>
          <w:szCs w:val="32"/>
        </w:rPr>
        <w:t>（四）20</w:t>
      </w:r>
      <w:r>
        <w:rPr>
          <w:rFonts w:hint="eastAsia" w:ascii="楷体" w:hAnsi="楷体" w:eastAsia="楷体" w:cs="楷体_GB2312"/>
          <w:bCs/>
          <w:sz w:val="32"/>
          <w:szCs w:val="32"/>
          <w:lang w:val="en-US" w:eastAsia="zh-CN"/>
        </w:rPr>
        <w:t>20</w:t>
      </w:r>
      <w:r>
        <w:rPr>
          <w:rFonts w:hint="eastAsia" w:ascii="楷体" w:hAnsi="楷体" w:eastAsia="楷体" w:cs="楷体_GB2312"/>
          <w:bCs/>
          <w:sz w:val="32"/>
          <w:szCs w:val="32"/>
        </w:rPr>
        <w:t>年部门预算执行情况。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1.20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年资金管理整体预算执行情况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color w:val="auto"/>
          <w:sz w:val="32"/>
          <w:szCs w:val="32"/>
        </w:rPr>
        <w:t>①预算执行情况。20</w:t>
      </w:r>
      <w:r>
        <w:rPr>
          <w:rFonts w:hint="eastAsia" w:ascii="仿宋_GB2312" w:hAnsi="楷体_GB2312" w:eastAsia="仿宋_GB2312" w:cs="楷体_GB2312"/>
          <w:bCs/>
          <w:color w:val="auto"/>
          <w:sz w:val="32"/>
          <w:szCs w:val="32"/>
          <w:lang w:val="en-US" w:eastAsia="zh-CN"/>
        </w:rPr>
        <w:t>20</w:t>
      </w:r>
      <w:r>
        <w:rPr>
          <w:rFonts w:hint="eastAsia" w:ascii="仿宋_GB2312" w:hAnsi="楷体_GB2312" w:eastAsia="仿宋_GB2312" w:cs="楷体_GB2312"/>
          <w:bCs/>
          <w:sz w:val="32"/>
          <w:szCs w:val="32"/>
        </w:rPr>
        <w:t>年单位年初预算1,394.58万元，预算追加指标100.64万元，调减指标158.71万元，调整后总预算为1,336</w:t>
      </w:r>
      <w:r>
        <w:rPr>
          <w:rFonts w:hint="eastAsia" w:ascii="仿宋_GB2312" w:hAnsi="楷体_GB2312" w:eastAsia="仿宋_GB2312" w:cs="楷体_GB2312"/>
          <w:bCs/>
          <w:sz w:val="32"/>
          <w:szCs w:val="32"/>
          <w:lang w:val="en-US" w:eastAsia="zh-CN"/>
        </w:rPr>
        <w:t>.</w:t>
      </w:r>
      <w:r>
        <w:rPr>
          <w:rFonts w:hint="eastAsia" w:ascii="仿宋_GB2312" w:hAnsi="楷体_GB2312" w:eastAsia="仿宋_GB2312" w:cs="楷体_GB2312"/>
          <w:bCs/>
          <w:sz w:val="32"/>
          <w:szCs w:val="32"/>
        </w:rPr>
        <w:t>5</w:t>
      </w:r>
      <w:r>
        <w:rPr>
          <w:rFonts w:hint="eastAsia" w:ascii="仿宋_GB2312" w:hAnsi="楷体_GB2312" w:eastAsia="仿宋_GB2312" w:cs="楷体_GB2312"/>
          <w:bCs/>
          <w:sz w:val="32"/>
          <w:szCs w:val="32"/>
          <w:lang w:val="en-US" w:eastAsia="zh-CN"/>
        </w:rPr>
        <w:t>1</w:t>
      </w:r>
      <w:r>
        <w:rPr>
          <w:rFonts w:hint="eastAsia" w:ascii="仿宋_GB2312" w:hAnsi="楷体_GB2312" w:eastAsia="仿宋_GB2312" w:cs="楷体_GB2312"/>
          <w:bCs/>
          <w:sz w:val="32"/>
          <w:szCs w:val="32"/>
        </w:rPr>
        <w:t>万元，本年决算支出1,</w:t>
      </w:r>
      <w:r>
        <w:rPr>
          <w:rFonts w:hint="eastAsia" w:ascii="仿宋_GB2312" w:hAnsi="楷体_GB2312" w:eastAsia="仿宋_GB2312" w:cs="楷体_GB2312"/>
          <w:bCs/>
          <w:sz w:val="32"/>
          <w:szCs w:val="32"/>
          <w:lang w:val="en-US" w:eastAsia="zh-CN"/>
        </w:rPr>
        <w:t>326.70</w:t>
      </w:r>
      <w:r>
        <w:rPr>
          <w:rFonts w:hint="eastAsia" w:ascii="仿宋_GB2312" w:hAnsi="楷体_GB2312" w:eastAsia="仿宋_GB2312" w:cs="楷体_GB2312"/>
          <w:bCs/>
          <w:sz w:val="32"/>
          <w:szCs w:val="32"/>
        </w:rPr>
        <w:t>万元，总体预算执行率99</w:t>
      </w:r>
      <w:r>
        <w:rPr>
          <w:rFonts w:hint="eastAsia" w:ascii="仿宋_GB2312" w:hAnsi="楷体_GB2312" w:eastAsia="仿宋_GB2312" w:cs="楷体_GB2312"/>
          <w:bCs/>
          <w:sz w:val="32"/>
          <w:szCs w:val="32"/>
          <w:lang w:val="en-US" w:eastAsia="zh-CN"/>
        </w:rPr>
        <w:t>.27</w:t>
      </w:r>
      <w:r>
        <w:rPr>
          <w:rFonts w:hint="eastAsia" w:ascii="仿宋_GB2312" w:hAnsi="楷体_GB2312" w:eastAsia="仿宋_GB2312" w:cs="楷体_GB2312"/>
          <w:bCs/>
          <w:sz w:val="32"/>
          <w:szCs w:val="32"/>
        </w:rPr>
        <w:t>%。其中：基本支出预算</w:t>
      </w:r>
      <w:r>
        <w:rPr>
          <w:rFonts w:hint="eastAsia" w:ascii="仿宋_GB2312" w:hAnsi="楷体_GB2312" w:eastAsia="仿宋_GB2312" w:cs="楷体_GB2312"/>
          <w:bCs/>
          <w:sz w:val="32"/>
          <w:szCs w:val="32"/>
          <w:lang w:val="en-US" w:eastAsia="zh-CN"/>
        </w:rPr>
        <w:t>1014.86</w:t>
      </w:r>
      <w:r>
        <w:rPr>
          <w:rFonts w:hint="eastAsia" w:ascii="仿宋_GB2312" w:hAnsi="楷体_GB2312" w:eastAsia="仿宋_GB2312" w:cs="楷体_GB2312"/>
          <w:bCs/>
          <w:sz w:val="32"/>
          <w:szCs w:val="32"/>
        </w:rPr>
        <w:t>万元，决算支出</w:t>
      </w:r>
      <w:r>
        <w:rPr>
          <w:rFonts w:hint="eastAsia" w:ascii="仿宋_GB2312" w:hAnsi="楷体_GB2312" w:eastAsia="仿宋_GB2312" w:cs="楷体_GB2312"/>
          <w:bCs/>
          <w:sz w:val="32"/>
          <w:szCs w:val="32"/>
          <w:lang w:val="en-US" w:eastAsia="zh-CN"/>
        </w:rPr>
        <w:t>1006.20</w:t>
      </w:r>
      <w:r>
        <w:rPr>
          <w:rFonts w:hint="eastAsia" w:ascii="仿宋_GB2312" w:hAnsi="楷体_GB2312" w:eastAsia="仿宋_GB2312" w:cs="楷体_GB2312"/>
          <w:bCs/>
          <w:sz w:val="32"/>
          <w:szCs w:val="32"/>
        </w:rPr>
        <w:t>万元，预算执行率为</w:t>
      </w:r>
      <w:r>
        <w:rPr>
          <w:rFonts w:hint="eastAsia" w:ascii="仿宋_GB2312" w:hAnsi="楷体_GB2312" w:eastAsia="仿宋_GB2312" w:cs="楷体_GB2312"/>
          <w:bCs/>
          <w:sz w:val="32"/>
          <w:szCs w:val="32"/>
          <w:lang w:val="en-US" w:eastAsia="zh-CN"/>
        </w:rPr>
        <w:t>99.15</w:t>
      </w:r>
      <w:r>
        <w:rPr>
          <w:rFonts w:hint="eastAsia" w:ascii="仿宋_GB2312" w:hAnsi="楷体_GB2312" w:eastAsia="仿宋_GB2312" w:cs="楷体_GB2312"/>
          <w:bCs/>
          <w:sz w:val="32"/>
          <w:szCs w:val="32"/>
        </w:rPr>
        <w:t>%，项目支出预算</w:t>
      </w:r>
      <w:r>
        <w:rPr>
          <w:rFonts w:hint="eastAsia" w:ascii="仿宋_GB2312" w:hAnsi="楷体_GB2312" w:eastAsia="仿宋_GB2312" w:cs="楷体_GB2312"/>
          <w:bCs/>
          <w:sz w:val="32"/>
          <w:szCs w:val="32"/>
          <w:lang w:val="en-US" w:eastAsia="zh-CN"/>
        </w:rPr>
        <w:t>321.72</w:t>
      </w:r>
      <w:r>
        <w:rPr>
          <w:rFonts w:hint="eastAsia" w:ascii="仿宋_GB2312" w:hAnsi="楷体_GB2312" w:eastAsia="仿宋_GB2312" w:cs="楷体_GB2312"/>
          <w:bCs/>
          <w:sz w:val="32"/>
          <w:szCs w:val="32"/>
        </w:rPr>
        <w:t>万元，决算支出</w:t>
      </w:r>
      <w:r>
        <w:rPr>
          <w:rFonts w:hint="eastAsia" w:ascii="仿宋_GB2312" w:hAnsi="楷体_GB2312" w:eastAsia="仿宋_GB2312" w:cs="楷体_GB2312"/>
          <w:bCs/>
          <w:sz w:val="32"/>
          <w:szCs w:val="32"/>
          <w:lang w:val="en-US" w:eastAsia="zh-CN"/>
        </w:rPr>
        <w:t>320.50</w:t>
      </w:r>
      <w:r>
        <w:rPr>
          <w:rFonts w:hint="eastAsia" w:ascii="仿宋_GB2312" w:hAnsi="楷体_GB2312" w:eastAsia="仿宋_GB2312" w:cs="楷体_GB2312"/>
          <w:bCs/>
          <w:sz w:val="32"/>
          <w:szCs w:val="32"/>
        </w:rPr>
        <w:t>万元，预算执行率为</w:t>
      </w:r>
      <w:r>
        <w:rPr>
          <w:rFonts w:hint="eastAsia" w:ascii="仿宋_GB2312" w:hAnsi="楷体_GB2312" w:eastAsia="仿宋_GB2312" w:cs="楷体_GB2312"/>
          <w:bCs/>
          <w:sz w:val="32"/>
          <w:szCs w:val="32"/>
          <w:lang w:val="en-US" w:eastAsia="zh-CN"/>
        </w:rPr>
        <w:t>99.62</w:t>
      </w:r>
      <w:r>
        <w:rPr>
          <w:rFonts w:hint="eastAsia" w:ascii="仿宋_GB2312" w:hAnsi="楷体_GB2312" w:eastAsia="仿宋_GB2312" w:cs="楷体_GB2312"/>
          <w:bCs/>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②财政资金结余结转情况。年末财政拨款结转和结余决算数为10.</w:t>
      </w:r>
      <w:r>
        <w:rPr>
          <w:rFonts w:hint="eastAsia" w:ascii="仿宋_GB2312" w:hAnsi="楷体_GB2312" w:eastAsia="仿宋_GB2312" w:cs="楷体_GB2312"/>
          <w:bCs/>
          <w:sz w:val="32"/>
          <w:szCs w:val="32"/>
          <w:lang w:val="en-US" w:eastAsia="zh-CN"/>
        </w:rPr>
        <w:t>0</w:t>
      </w:r>
      <w:r>
        <w:rPr>
          <w:rFonts w:hint="eastAsia" w:ascii="仿宋_GB2312" w:hAnsi="楷体_GB2312" w:eastAsia="仿宋_GB2312" w:cs="楷体_GB2312"/>
          <w:bCs/>
          <w:sz w:val="32"/>
          <w:szCs w:val="32"/>
        </w:rPr>
        <w:t>6万元。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③政府采购执行率。20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年度政府采购预算为2.</w:t>
      </w:r>
      <w:r>
        <w:rPr>
          <w:rFonts w:hint="eastAsia" w:ascii="仿宋_GB2312" w:hAnsi="楷体_GB2312" w:eastAsia="仿宋_GB2312" w:cs="楷体_GB2312"/>
          <w:bCs/>
          <w:sz w:val="32"/>
          <w:szCs w:val="32"/>
          <w:lang w:val="en-US" w:eastAsia="zh-CN"/>
        </w:rPr>
        <w:t>2</w:t>
      </w:r>
      <w:r>
        <w:rPr>
          <w:rFonts w:hint="eastAsia" w:ascii="仿宋_GB2312" w:hAnsi="楷体_GB2312" w:eastAsia="仿宋_GB2312" w:cs="楷体_GB2312"/>
          <w:bCs/>
          <w:sz w:val="32"/>
          <w:szCs w:val="32"/>
        </w:rPr>
        <w:t>0万元，20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年度实际政府采购金额为</w:t>
      </w:r>
      <w:r>
        <w:rPr>
          <w:rFonts w:hint="eastAsia" w:ascii="仿宋_GB2312" w:hAnsi="楷体_GB2312" w:eastAsia="仿宋_GB2312" w:cs="楷体_GB2312"/>
          <w:bCs/>
          <w:sz w:val="32"/>
          <w:szCs w:val="32"/>
          <w:lang w:val="en-US" w:eastAsia="zh-CN"/>
        </w:rPr>
        <w:t>2.2</w:t>
      </w:r>
      <w:r>
        <w:rPr>
          <w:rFonts w:hint="eastAsia" w:ascii="仿宋_GB2312" w:hAnsi="楷体_GB2312" w:eastAsia="仿宋_GB2312" w:cs="楷体_GB2312"/>
          <w:bCs/>
          <w:sz w:val="32"/>
          <w:szCs w:val="32"/>
        </w:rPr>
        <w:t>0万元，政府采购执行率为100%。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④财务合规性。一是我单位严格按规定履行调整报批手续，且按事项完成进度支付资金。二是我单位资金管理、费用标准、支付符合有关制度规定，无超范围、超标准支出，无虚列支出，无截留、挤占、挪用资金以及其他不符合制度规定的支出。三是我单位严格按规定执行会计核算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⑤预决算信息公开情况。我单位严格按照政府信息公开有关规定，按规定内容、在规定时限和范围内公开相关预决算信息。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2.20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年项目管理整体预算执行情况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年度项目支出年初预算安排</w:t>
      </w:r>
      <w:r>
        <w:rPr>
          <w:rFonts w:hint="eastAsia" w:ascii="仿宋_GB2312" w:hAnsi="楷体_GB2312" w:eastAsia="仿宋_GB2312" w:cs="楷体_GB2312"/>
          <w:bCs/>
          <w:sz w:val="32"/>
          <w:szCs w:val="32"/>
          <w:lang w:val="en-US" w:eastAsia="zh-CN"/>
        </w:rPr>
        <w:t>474</w:t>
      </w:r>
      <w:r>
        <w:rPr>
          <w:rFonts w:hint="eastAsia" w:ascii="仿宋_GB2312" w:hAnsi="楷体_GB2312" w:eastAsia="仿宋_GB2312" w:cs="楷体_GB2312"/>
          <w:bCs/>
          <w:sz w:val="32"/>
          <w:szCs w:val="32"/>
        </w:rPr>
        <w:t>万元，年中调整后预算为</w:t>
      </w:r>
      <w:r>
        <w:rPr>
          <w:rFonts w:hint="eastAsia" w:ascii="仿宋_GB2312" w:hAnsi="楷体_GB2312" w:eastAsia="仿宋_GB2312" w:cs="楷体_GB2312"/>
          <w:bCs/>
          <w:sz w:val="32"/>
          <w:szCs w:val="32"/>
          <w:lang w:val="en-US" w:eastAsia="zh-CN"/>
        </w:rPr>
        <w:t>321.72</w:t>
      </w:r>
      <w:r>
        <w:rPr>
          <w:rFonts w:hint="eastAsia" w:ascii="仿宋_GB2312" w:hAnsi="楷体_GB2312" w:eastAsia="仿宋_GB2312" w:cs="楷体_GB2312"/>
          <w:bCs/>
          <w:sz w:val="32"/>
          <w:szCs w:val="32"/>
        </w:rPr>
        <w:t>万元,实际支出</w:t>
      </w:r>
      <w:r>
        <w:rPr>
          <w:rFonts w:hint="eastAsia" w:ascii="仿宋_GB2312" w:hAnsi="楷体_GB2312" w:eastAsia="仿宋_GB2312" w:cs="楷体_GB2312"/>
          <w:bCs/>
          <w:sz w:val="32"/>
          <w:szCs w:val="32"/>
          <w:lang w:val="en-US" w:eastAsia="zh-CN"/>
        </w:rPr>
        <w:t>320.50</w:t>
      </w:r>
      <w:r>
        <w:rPr>
          <w:rFonts w:hint="eastAsia" w:ascii="仿宋_GB2312" w:hAnsi="楷体_GB2312" w:eastAsia="仿宋_GB2312" w:cs="楷体_GB2312"/>
          <w:bCs/>
          <w:sz w:val="32"/>
          <w:szCs w:val="32"/>
        </w:rPr>
        <w:t>万元，完成比例为99.</w:t>
      </w:r>
      <w:r>
        <w:rPr>
          <w:rFonts w:hint="eastAsia" w:ascii="仿宋_GB2312" w:hAnsi="楷体_GB2312" w:eastAsia="仿宋_GB2312" w:cs="楷体_GB2312"/>
          <w:bCs/>
          <w:sz w:val="32"/>
          <w:szCs w:val="32"/>
          <w:lang w:val="en-US" w:eastAsia="zh-CN"/>
        </w:rPr>
        <w:t>62</w:t>
      </w:r>
      <w:r>
        <w:rPr>
          <w:rFonts w:hint="eastAsia" w:ascii="仿宋_GB2312" w:hAnsi="楷体_GB2312" w:eastAsia="仿宋_GB2312" w:cs="楷体_GB2312"/>
          <w:bCs/>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项目支出预算的安排与单位履职相符合，财政资金保障充足有效。项目的设立按规定履行报批程序，申报、批复程序符合相关管理办法，项目验收履行相应手续。项目资金支出监管按相关规定在会计核算方面进行严格的审核支付管理，及时监控发现问题并督促整改，项目支出建立了有效的预算资金管理机制且执行良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3.20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年资产管理整体预算执行情况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color w:val="FF0000"/>
          <w:sz w:val="32"/>
          <w:szCs w:val="32"/>
        </w:rPr>
      </w:pPr>
      <w:r>
        <w:rPr>
          <w:rFonts w:hint="eastAsia" w:ascii="仿宋_GB2312" w:hAnsi="楷体_GB2312" w:eastAsia="仿宋_GB2312" w:cs="楷体_GB2312"/>
          <w:bCs/>
          <w:color w:val="auto"/>
          <w:sz w:val="32"/>
          <w:szCs w:val="32"/>
        </w:rPr>
        <w:t>我单位资产保存完整、使用合规、配置合理、处置规范，所有固定资产</w:t>
      </w:r>
      <w:r>
        <w:rPr>
          <w:rFonts w:hint="eastAsia" w:ascii="仿宋_GB2312" w:hAnsi="楷体_GB2312" w:eastAsia="仿宋_GB2312" w:cs="楷体_GB2312"/>
          <w:bCs/>
          <w:color w:val="auto"/>
          <w:sz w:val="32"/>
          <w:szCs w:val="32"/>
          <w:lang w:eastAsia="zh-CN"/>
        </w:rPr>
        <w:t>净值</w:t>
      </w:r>
      <w:r>
        <w:rPr>
          <w:rFonts w:hint="eastAsia" w:ascii="仿宋_GB2312" w:hAnsi="楷体_GB2312" w:eastAsia="仿宋_GB2312" w:cs="楷体_GB2312"/>
          <w:bCs/>
          <w:color w:val="auto"/>
          <w:sz w:val="32"/>
          <w:szCs w:val="32"/>
        </w:rPr>
        <w:t>为</w:t>
      </w:r>
      <w:r>
        <w:rPr>
          <w:rFonts w:hint="eastAsia" w:ascii="仿宋_GB2312" w:hAnsi="楷体_GB2312" w:eastAsia="仿宋_GB2312" w:cs="楷体_GB2312"/>
          <w:bCs/>
          <w:color w:val="auto"/>
          <w:sz w:val="32"/>
          <w:szCs w:val="32"/>
          <w:lang w:val="en-US" w:eastAsia="zh-CN"/>
        </w:rPr>
        <w:t>33.09</w:t>
      </w:r>
      <w:r>
        <w:rPr>
          <w:rFonts w:hint="eastAsia" w:ascii="仿宋_GB2312" w:hAnsi="楷体_GB2312" w:eastAsia="仿宋_GB2312" w:cs="楷体_GB2312"/>
          <w:bCs/>
          <w:color w:val="auto"/>
          <w:sz w:val="32"/>
          <w:szCs w:val="32"/>
        </w:rPr>
        <w:t>万元，实际在用固定资产</w:t>
      </w:r>
      <w:r>
        <w:rPr>
          <w:rFonts w:hint="eastAsia" w:ascii="仿宋_GB2312" w:hAnsi="楷体_GB2312" w:eastAsia="仿宋_GB2312" w:cs="楷体_GB2312"/>
          <w:bCs/>
          <w:color w:val="auto"/>
          <w:sz w:val="32"/>
          <w:szCs w:val="32"/>
          <w:lang w:eastAsia="zh-CN"/>
        </w:rPr>
        <w:t>净值</w:t>
      </w:r>
      <w:r>
        <w:rPr>
          <w:rFonts w:hint="eastAsia" w:ascii="仿宋_GB2312" w:hAnsi="楷体_GB2312" w:eastAsia="仿宋_GB2312" w:cs="楷体_GB2312"/>
          <w:bCs/>
          <w:color w:val="auto"/>
          <w:sz w:val="32"/>
          <w:szCs w:val="32"/>
        </w:rPr>
        <w:t>为</w:t>
      </w:r>
      <w:r>
        <w:rPr>
          <w:rFonts w:hint="eastAsia" w:ascii="仿宋_GB2312" w:hAnsi="楷体_GB2312" w:eastAsia="仿宋_GB2312" w:cs="楷体_GB2312"/>
          <w:bCs/>
          <w:color w:val="auto"/>
          <w:sz w:val="32"/>
          <w:szCs w:val="32"/>
          <w:lang w:val="en-US" w:eastAsia="zh-CN"/>
        </w:rPr>
        <w:t>33.09</w:t>
      </w:r>
      <w:r>
        <w:rPr>
          <w:rFonts w:hint="eastAsia" w:ascii="仿宋_GB2312" w:hAnsi="楷体_GB2312" w:eastAsia="仿宋_GB2312" w:cs="楷体_GB2312"/>
          <w:bCs/>
          <w:color w:val="auto"/>
          <w:sz w:val="32"/>
          <w:szCs w:val="32"/>
        </w:rPr>
        <w:t>万元，固定资产利用率达到</w:t>
      </w:r>
      <w:r>
        <w:rPr>
          <w:rFonts w:hint="eastAsia" w:ascii="仿宋_GB2312" w:hAnsi="楷体_GB2312" w:eastAsia="仿宋_GB2312" w:cs="楷体_GB2312"/>
          <w:bCs/>
          <w:color w:val="auto"/>
          <w:sz w:val="32"/>
          <w:szCs w:val="32"/>
          <w:lang w:val="en-US" w:eastAsia="zh-CN"/>
        </w:rPr>
        <w:t>100</w:t>
      </w:r>
      <w:r>
        <w:rPr>
          <w:rFonts w:hint="eastAsia" w:ascii="仿宋_GB2312" w:hAnsi="楷体_GB2312" w:eastAsia="仿宋_GB2312" w:cs="楷体_GB2312"/>
          <w:bCs/>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4.20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年人员管理整体预算执行情况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楷体_GB2312" w:eastAsia="仿宋_GB2312" w:cs="楷体_GB2312"/>
          <w:bCs/>
          <w:sz w:val="32"/>
          <w:szCs w:val="32"/>
        </w:rPr>
      </w:pPr>
      <w:r>
        <w:rPr>
          <w:rFonts w:hint="eastAsia" w:ascii="仿宋_GB2312" w:hAnsi="楷体_GB2312" w:eastAsia="仿宋_GB2312" w:cs="楷体_GB2312"/>
          <w:bCs/>
          <w:sz w:val="32"/>
          <w:szCs w:val="32"/>
        </w:rPr>
        <w:t>纳入区工商联20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年部门预算编制范围的区工商联本级1个基层单位。区工商联20</w:t>
      </w:r>
      <w:r>
        <w:rPr>
          <w:rFonts w:hint="eastAsia" w:ascii="仿宋_GB2312" w:hAnsi="楷体_GB2312" w:eastAsia="仿宋_GB2312" w:cs="楷体_GB2312"/>
          <w:bCs/>
          <w:sz w:val="32"/>
          <w:szCs w:val="32"/>
          <w:lang w:val="en-US" w:eastAsia="zh-CN"/>
        </w:rPr>
        <w:t>20</w:t>
      </w:r>
      <w:r>
        <w:rPr>
          <w:rFonts w:hint="eastAsia" w:ascii="仿宋_GB2312" w:hAnsi="楷体_GB2312" w:eastAsia="仿宋_GB2312" w:cs="楷体_GB2312"/>
          <w:bCs/>
          <w:sz w:val="32"/>
          <w:szCs w:val="32"/>
        </w:rPr>
        <w:t>年总编制数（含工勤人员）12人，在职实有人数（含工勤人员）1</w:t>
      </w:r>
      <w:r>
        <w:rPr>
          <w:rFonts w:hint="eastAsia" w:ascii="仿宋_GB2312" w:hAnsi="楷体_GB2312" w:eastAsia="仿宋_GB2312" w:cs="楷体_GB2312"/>
          <w:bCs/>
          <w:sz w:val="32"/>
          <w:szCs w:val="32"/>
          <w:lang w:val="en-US" w:eastAsia="zh-CN"/>
        </w:rPr>
        <w:t>2</w:t>
      </w:r>
      <w:r>
        <w:rPr>
          <w:rFonts w:hint="eastAsia" w:ascii="仿宋_GB2312" w:hAnsi="楷体_GB2312" w:eastAsia="仿宋_GB2312" w:cs="楷体_GB2312"/>
          <w:bCs/>
          <w:sz w:val="32"/>
          <w:szCs w:val="32"/>
        </w:rPr>
        <w:t>人；离退休8人；雇员员额4人，实有雇员4人；聘员员额5人，实有聘员</w:t>
      </w:r>
      <w:r>
        <w:rPr>
          <w:rFonts w:hint="eastAsia" w:ascii="仿宋_GB2312" w:hAnsi="楷体_GB2312" w:eastAsia="仿宋_GB2312" w:cs="楷体_GB2312"/>
          <w:bCs/>
          <w:sz w:val="32"/>
          <w:szCs w:val="32"/>
          <w:lang w:val="en-US" w:eastAsia="zh-CN"/>
        </w:rPr>
        <w:t>5</w:t>
      </w:r>
      <w:r>
        <w:rPr>
          <w:rFonts w:hint="eastAsia" w:ascii="仿宋_GB2312" w:hAnsi="楷体_GB2312" w:eastAsia="仿宋_GB2312" w:cs="楷体_GB2312"/>
          <w:bCs/>
          <w:sz w:val="32"/>
          <w:szCs w:val="32"/>
        </w:rPr>
        <w:t>人。在编人数（含工勤人员）与核定编制数（含工勤人员）的比率为</w:t>
      </w:r>
      <w:r>
        <w:rPr>
          <w:rFonts w:hint="eastAsia" w:ascii="仿宋_GB2312" w:hAnsi="楷体_GB2312" w:eastAsia="仿宋_GB2312" w:cs="楷体_GB2312"/>
          <w:bCs/>
          <w:sz w:val="32"/>
          <w:szCs w:val="32"/>
          <w:lang w:val="en-US" w:eastAsia="zh-CN"/>
        </w:rPr>
        <w:t>100</w:t>
      </w:r>
      <w:r>
        <w:rPr>
          <w:rFonts w:hint="eastAsia" w:ascii="仿宋_GB2312" w:hAnsi="楷体_GB2312" w:eastAsia="仿宋_GB2312" w:cs="楷体_GB2312"/>
          <w:bCs/>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ascii="黑体" w:hAnsi="黑体" w:eastAsia="黑体"/>
          <w:sz w:val="32"/>
          <w:szCs w:val="32"/>
        </w:rPr>
      </w:pPr>
      <w:r>
        <w:rPr>
          <w:rFonts w:hint="eastAsia" w:ascii="黑体" w:hAnsi="黑体" w:eastAsia="黑体"/>
          <w:sz w:val="32"/>
          <w:szCs w:val="32"/>
        </w:rPr>
        <w:t>二、部门（单位）主要履职绩效分析</w:t>
      </w:r>
    </w:p>
    <w:p>
      <w:pPr>
        <w:spacing w:line="540" w:lineRule="exact"/>
        <w:ind w:firstLine="640" w:firstLineChars="200"/>
        <w:rPr>
          <w:rFonts w:ascii="楷体" w:hAnsi="楷体" w:eastAsia="楷体"/>
          <w:bCs/>
          <w:color w:val="auto"/>
          <w:sz w:val="32"/>
          <w:szCs w:val="32"/>
        </w:rPr>
      </w:pPr>
      <w:r>
        <w:rPr>
          <w:rFonts w:hint="eastAsia" w:ascii="楷体" w:hAnsi="楷体" w:eastAsia="楷体"/>
          <w:bCs/>
          <w:color w:val="auto"/>
          <w:sz w:val="32"/>
          <w:szCs w:val="32"/>
        </w:rPr>
        <w:t>（一）主要履职目标</w:t>
      </w:r>
    </w:p>
    <w:p>
      <w:pPr>
        <w:keepNext w:val="0"/>
        <w:keepLines w:val="0"/>
        <w:pageBreakBefore w:val="0"/>
        <w:kinsoku/>
        <w:wordWrap/>
        <w:overflowPunct/>
        <w:topLinePunct w:val="0"/>
        <w:autoSpaceDE/>
        <w:autoSpaceDN/>
        <w:bidi w:val="0"/>
        <w:adjustRightInd/>
        <w:spacing w:line="58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2020年我单位主要履职工作目标：1.坚持思想政治引领,促进非公经济人士健康成长。2.创新企业服务工作，促进高质量发展。</w:t>
      </w:r>
      <w:r>
        <w:rPr>
          <w:rFonts w:hint="eastAsia" w:ascii="仿宋_GB2312" w:hAnsi="仿宋_GB2312" w:eastAsia="仿宋_GB2312" w:cs="仿宋_GB2312"/>
          <w:b w:val="0"/>
          <w:bCs w:val="0"/>
          <w:color w:val="auto"/>
          <w:sz w:val="32"/>
          <w:szCs w:val="32"/>
          <w:lang w:val="en-US" w:eastAsia="zh-CN"/>
        </w:rPr>
        <w:t>3.筑牢组织基础，激发工商联组织活力。</w:t>
      </w:r>
      <w:r>
        <w:rPr>
          <w:rFonts w:hint="eastAsia" w:ascii="仿宋_GB2312" w:hAnsi="仿宋_GB2312" w:eastAsia="仿宋_GB2312" w:cs="仿宋_GB2312"/>
          <w:color w:val="auto"/>
          <w:sz w:val="32"/>
          <w:szCs w:val="32"/>
          <w:lang w:val="en-US" w:eastAsia="zh-CN"/>
        </w:rPr>
        <w:t>4.提升界别参政议政水平，扎实做好参政议政工作。</w:t>
      </w:r>
      <w:r>
        <w:rPr>
          <w:rFonts w:hint="eastAsia" w:ascii="仿宋_GB2312" w:hAnsi="仿宋_GB2312" w:eastAsia="仿宋_GB2312" w:cs="仿宋_GB2312"/>
          <w:color w:val="auto"/>
          <w:sz w:val="32"/>
          <w:szCs w:val="32"/>
          <w:highlight w:val="none"/>
          <w:lang w:val="en-US" w:eastAsia="zh-CN"/>
        </w:rPr>
        <w:t>5.加强自身建设，切实增加工作执行力。</w:t>
      </w:r>
      <w:r>
        <w:rPr>
          <w:rFonts w:hint="eastAsia" w:ascii="仿宋_GB2312" w:hAnsi="仿宋_GB2312" w:eastAsia="仿宋_GB2312" w:cs="仿宋_GB2312"/>
          <w:color w:val="auto"/>
          <w:sz w:val="32"/>
          <w:szCs w:val="32"/>
          <w:lang w:val="en-US" w:eastAsia="zh-CN"/>
        </w:rPr>
        <w:t>6.做好“三同步”工作。7.进一步加强园区党建工作。8.加强非公党建标准化建设，谋取非公党建实效。</w:t>
      </w:r>
    </w:p>
    <w:p>
      <w:pPr>
        <w:spacing w:line="540" w:lineRule="exact"/>
        <w:ind w:firstLine="640" w:firstLineChars="200"/>
        <w:rPr>
          <w:rFonts w:hint="eastAsia" w:ascii="楷体" w:hAnsi="楷体" w:eastAsia="楷体"/>
          <w:bCs/>
          <w:color w:val="auto"/>
          <w:sz w:val="32"/>
          <w:szCs w:val="32"/>
        </w:rPr>
      </w:pPr>
      <w:r>
        <w:rPr>
          <w:rFonts w:hint="eastAsia" w:ascii="楷体" w:hAnsi="楷体" w:eastAsia="楷体"/>
          <w:bCs/>
          <w:color w:val="auto"/>
          <w:sz w:val="32"/>
          <w:szCs w:val="32"/>
        </w:rPr>
        <w:t>（二）主要履职情况</w:t>
      </w:r>
    </w:p>
    <w:p>
      <w:pPr>
        <w:spacing w:line="540" w:lineRule="exact"/>
        <w:ind w:firstLine="800" w:firstLineChars="250"/>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年，区工商联主要履职情况：</w:t>
      </w:r>
      <w:r>
        <w:rPr>
          <w:rFonts w:hint="eastAsia" w:ascii="仿宋_GB2312" w:eastAsia="仿宋_GB2312"/>
          <w:sz w:val="32"/>
          <w:szCs w:val="32"/>
          <w:lang w:val="en-US" w:eastAsia="zh-CN"/>
        </w:rPr>
        <w:t>1.</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lang w:val="en-US" w:eastAsia="zh-CN"/>
        </w:rPr>
        <w:t>举办政企直联工作培训，</w:t>
      </w:r>
      <w:r>
        <w:rPr>
          <w:rFonts w:hint="eastAsia" w:ascii="仿宋_GB2312" w:hAnsi="仿宋_GB2312" w:eastAsia="仿宋_GB2312" w:cs="仿宋_GB2312"/>
          <w:b w:val="0"/>
          <w:bCs w:val="0"/>
          <w:sz w:val="32"/>
          <w:szCs w:val="32"/>
          <w:lang w:eastAsia="zh-CN"/>
        </w:rPr>
        <w:t>开展</w:t>
      </w:r>
      <w:r>
        <w:rPr>
          <w:rFonts w:hint="eastAsia" w:ascii="仿宋_GB2312" w:hAnsi="仿宋_GB2312" w:eastAsia="仿宋_GB2312" w:cs="仿宋_GB2312"/>
          <w:b w:val="0"/>
          <w:bCs w:val="0"/>
          <w:sz w:val="32"/>
          <w:szCs w:val="32"/>
          <w:lang w:val="en-US" w:eastAsia="zh-CN"/>
        </w:rPr>
        <w:t>“走进海关”“走进检察院”等集体直联活动</w:t>
      </w:r>
      <w:r>
        <w:rPr>
          <w:rFonts w:hint="eastAsia" w:ascii="仿宋_GB2312" w:hAnsi="仿宋_GB2312" w:eastAsia="仿宋_GB2312" w:cs="仿宋_GB2312"/>
          <w:b w:val="0"/>
          <w:bCs w:val="0"/>
          <w:sz w:val="32"/>
          <w:szCs w:val="32"/>
          <w:lang w:eastAsia="zh-CN"/>
        </w:rPr>
        <w:t>，进一步深化直联工作机制，助力民营经济高质量发展。</w:t>
      </w:r>
      <w:r>
        <w:rPr>
          <w:rFonts w:hint="eastAsia" w:ascii="仿宋_GB2312" w:hAnsi="仿宋_GB2312" w:eastAsia="仿宋_GB2312" w:cs="仿宋_GB2312"/>
          <w:b w:val="0"/>
          <w:bCs w:val="0"/>
          <w:sz w:val="32"/>
          <w:szCs w:val="32"/>
          <w:lang w:val="en-US" w:eastAsia="zh-CN"/>
        </w:rPr>
        <w:t>2.</w:t>
      </w:r>
      <w:r>
        <w:rPr>
          <w:rFonts w:hint="eastAsia" w:ascii="仿宋_GB2312" w:hAnsi="宋体" w:eastAsia="仿宋_GB2312" w:cs="宋体"/>
          <w:color w:val="000000"/>
          <w:kern w:val="0"/>
          <w:sz w:val="32"/>
          <w:szCs w:val="32"/>
          <w:lang w:val="en" w:eastAsia="zh-CN"/>
        </w:rPr>
        <w:t>筑牢组织基础，通过推动基层组织规范化建设，</w:t>
      </w:r>
      <w:r>
        <w:rPr>
          <w:rFonts w:hint="eastAsia" w:ascii="仿宋_GB2312" w:hAnsi="仿宋_GB2312" w:eastAsia="仿宋_GB2312" w:cs="仿宋_GB2312"/>
          <w:b w:val="0"/>
          <w:bCs w:val="0"/>
          <w:sz w:val="32"/>
          <w:szCs w:val="32"/>
          <w:lang w:eastAsia="zh-CN"/>
        </w:rPr>
        <w:t>探索建立商（协）会</w:t>
      </w:r>
      <w:r>
        <w:rPr>
          <w:rFonts w:hint="eastAsia" w:ascii="仿宋_GB2312" w:hAnsi="仿宋_GB2312" w:eastAsia="仿宋_GB2312" w:cs="仿宋_GB2312"/>
          <w:b w:val="0"/>
          <w:bCs w:val="0"/>
          <w:sz w:val="32"/>
          <w:szCs w:val="32"/>
        </w:rPr>
        <w:t>考</w:t>
      </w:r>
      <w:r>
        <w:rPr>
          <w:rFonts w:hint="eastAsia" w:ascii="仿宋_GB2312" w:hAnsi="仿宋_GB2312" w:eastAsia="仿宋_GB2312" w:cs="仿宋_GB2312"/>
          <w:b w:val="0"/>
          <w:bCs w:val="0"/>
          <w:sz w:val="32"/>
          <w:szCs w:val="32"/>
          <w:lang w:eastAsia="zh-CN"/>
        </w:rPr>
        <w:t>评</w:t>
      </w:r>
      <w:r>
        <w:rPr>
          <w:rFonts w:hint="eastAsia" w:ascii="仿宋_GB2312" w:hAnsi="仿宋_GB2312" w:eastAsia="仿宋_GB2312" w:cs="仿宋_GB2312"/>
          <w:b w:val="0"/>
          <w:bCs w:val="0"/>
          <w:sz w:val="32"/>
          <w:szCs w:val="32"/>
        </w:rPr>
        <w:t>机制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举办秘书长队伍素质提升培训班，举办‘恒明ONE杯’歌唱</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b w:val="0"/>
          <w:bCs w:val="0"/>
          <w:sz w:val="32"/>
          <w:szCs w:val="32"/>
          <w:lang w:val="en-US" w:eastAsia="zh-CN"/>
        </w:rPr>
        <w:t>等，</w:t>
      </w:r>
      <w:r>
        <w:rPr>
          <w:rFonts w:hint="eastAsia" w:ascii="仿宋_GB2312" w:hAnsi="宋体" w:eastAsia="仿宋_GB2312" w:cs="宋体"/>
          <w:color w:val="000000"/>
          <w:kern w:val="0"/>
          <w:sz w:val="32"/>
          <w:szCs w:val="32"/>
          <w:lang w:val="en" w:eastAsia="zh-CN"/>
        </w:rPr>
        <w:t>激发工商联组织活力，</w:t>
      </w:r>
      <w:r>
        <w:rPr>
          <w:rFonts w:hint="eastAsia" w:ascii="仿宋_GB2312" w:hAnsi="仿宋_GB2312" w:eastAsia="仿宋_GB2312" w:cs="仿宋_GB2312"/>
          <w:b w:val="0"/>
          <w:bCs w:val="0"/>
          <w:sz w:val="32"/>
          <w:szCs w:val="32"/>
          <w:lang w:val="en-US" w:eastAsia="zh-CN"/>
        </w:rPr>
        <w:t>弘扬企业家精神</w:t>
      </w:r>
      <w:r>
        <w:rPr>
          <w:rFonts w:hint="eastAsia" w:ascii="仿宋_GB2312" w:hAnsi="宋体" w:eastAsia="仿宋_GB2312" w:cs="宋体"/>
          <w:b w:val="0"/>
          <w:bCs w:val="0"/>
          <w:color w:val="000000"/>
          <w:kern w:val="0"/>
          <w:sz w:val="32"/>
          <w:szCs w:val="32"/>
          <w:lang w:val="en" w:eastAsia="zh-CN"/>
        </w:rPr>
        <w:t>。</w:t>
      </w:r>
      <w:r>
        <w:rPr>
          <w:rFonts w:hint="eastAsia" w:ascii="仿宋_GB2312" w:hAnsi="宋体" w:eastAsia="仿宋_GB2312" w:cs="宋体"/>
          <w:b w:val="0"/>
          <w:bCs w:val="0"/>
          <w:color w:val="000000"/>
          <w:kern w:val="0"/>
          <w:sz w:val="32"/>
          <w:szCs w:val="32"/>
          <w:lang w:val="en-US" w:eastAsia="zh-CN"/>
        </w:rPr>
        <w:t>3.</w:t>
      </w:r>
      <w:r>
        <w:rPr>
          <w:rFonts w:hint="eastAsia" w:ascii="仿宋_GB2312" w:hAnsi="宋体" w:eastAsia="仿宋_GB2312" w:cs="宋体"/>
          <w:b w:val="0"/>
          <w:bCs w:val="0"/>
          <w:color w:val="000000"/>
          <w:kern w:val="0"/>
          <w:sz w:val="32"/>
          <w:szCs w:val="32"/>
          <w:lang w:val="en" w:eastAsia="zh-CN"/>
        </w:rPr>
        <w:t>做好“三同步”专项工作，增强非公党建组织力。</w:t>
      </w:r>
      <w:r>
        <w:rPr>
          <w:rFonts w:hint="eastAsia" w:ascii="仿宋_GB2312" w:hAnsi="宋体" w:eastAsia="仿宋_GB2312" w:cs="宋体"/>
          <w:b w:val="0"/>
          <w:bCs w:val="0"/>
          <w:color w:val="000000"/>
          <w:kern w:val="0"/>
          <w:sz w:val="32"/>
          <w:szCs w:val="32"/>
          <w:lang w:val="en-US" w:eastAsia="zh-CN"/>
        </w:rPr>
        <w:t>2020年，</w:t>
      </w:r>
      <w:r>
        <w:rPr>
          <w:rFonts w:hint="eastAsia" w:ascii="仿宋_GB2312" w:hAnsi="仿宋_GB2312" w:eastAsia="仿宋_GB2312" w:cs="仿宋_GB2312"/>
          <w:b w:val="0"/>
          <w:bCs w:val="0"/>
          <w:kern w:val="2"/>
          <w:sz w:val="32"/>
          <w:szCs w:val="32"/>
          <w:lang w:val="en-US" w:eastAsia="zh-CN" w:bidi="ar-SA"/>
        </w:rPr>
        <w:t>单独组建党组织企业8家，联合党组织覆盖企业24家，企业覆盖目标任务完成率177%，在全区名列第一。</w:t>
      </w:r>
      <w:r>
        <w:rPr>
          <w:rFonts w:hint="eastAsia" w:ascii="仿宋_GB2312" w:hAnsi="宋体" w:eastAsia="仿宋_GB2312" w:cs="宋体"/>
          <w:b w:val="0"/>
          <w:bCs w:val="0"/>
          <w:color w:val="000000"/>
          <w:kern w:val="0"/>
          <w:sz w:val="32"/>
          <w:szCs w:val="32"/>
          <w:lang w:val="en-US" w:eastAsia="zh-CN"/>
        </w:rPr>
        <w:t>4.</w:t>
      </w:r>
      <w:r>
        <w:rPr>
          <w:rFonts w:hint="eastAsia" w:ascii="仿宋_GB2312" w:hAnsi="宋体" w:eastAsia="仿宋_GB2312" w:cs="宋体"/>
          <w:b w:val="0"/>
          <w:bCs w:val="0"/>
          <w:color w:val="000000"/>
          <w:kern w:val="0"/>
          <w:sz w:val="32"/>
          <w:szCs w:val="32"/>
          <w:lang w:val="en" w:eastAsia="zh-CN"/>
        </w:rPr>
        <w:t>通过深入推进基层党组织规范化建设，</w:t>
      </w:r>
      <w:r>
        <w:rPr>
          <w:rFonts w:hint="eastAsia" w:ascii="仿宋_GB2312" w:hAnsi="仿宋_GB2312" w:eastAsia="仿宋_GB2312" w:cs="仿宋_GB2312"/>
          <w:b w:val="0"/>
          <w:bCs w:val="0"/>
          <w:kern w:val="2"/>
          <w:sz w:val="32"/>
          <w:szCs w:val="32"/>
          <w:lang w:val="en-US" w:eastAsia="zh-CN" w:bidi="ar-SA"/>
        </w:rPr>
        <w:t>打造龙岗留学生创业园党建示范基地、</w:t>
      </w:r>
      <w:r>
        <w:rPr>
          <w:rFonts w:hint="eastAsia" w:ascii="仿宋_GB2312" w:hAnsi="宋体" w:eastAsia="仿宋_GB2312" w:cs="宋体"/>
          <w:b w:val="0"/>
          <w:bCs w:val="0"/>
          <w:color w:val="000000"/>
          <w:kern w:val="0"/>
          <w:sz w:val="32"/>
          <w:szCs w:val="32"/>
          <w:lang w:val="en" w:eastAsia="zh-CN"/>
        </w:rPr>
        <w:t>巩固提升</w:t>
      </w:r>
      <w:r>
        <w:rPr>
          <w:rFonts w:hint="eastAsia" w:ascii="仿宋_GB2312" w:hAnsi="仿宋_GB2312" w:eastAsia="仿宋_GB2312" w:cs="仿宋_GB2312"/>
          <w:b w:val="0"/>
          <w:bCs w:val="0"/>
          <w:kern w:val="2"/>
          <w:sz w:val="32"/>
          <w:szCs w:val="32"/>
          <w:lang w:val="en-US" w:eastAsia="zh-CN" w:bidi="ar-SA"/>
        </w:rPr>
        <w:t>大运软件小镇、全接触等</w:t>
      </w:r>
      <w:r>
        <w:rPr>
          <w:rFonts w:hint="eastAsia" w:ascii="仿宋_GB2312" w:hAnsi="宋体" w:eastAsia="仿宋_GB2312" w:cs="宋体"/>
          <w:b w:val="0"/>
          <w:bCs w:val="0"/>
          <w:color w:val="000000"/>
          <w:kern w:val="0"/>
          <w:sz w:val="32"/>
          <w:szCs w:val="32"/>
          <w:lang w:val="en" w:eastAsia="zh-CN"/>
        </w:rPr>
        <w:t>非公党建示范点，进一步增强品牌效应和示范带动作用。</w:t>
      </w:r>
      <w:r>
        <w:rPr>
          <w:rFonts w:hint="eastAsia" w:ascii="仿宋_GB2312" w:hAnsi="宋体" w:eastAsia="仿宋_GB2312" w:cs="宋体"/>
          <w:b w:val="0"/>
          <w:bCs w:val="0"/>
          <w:color w:val="000000"/>
          <w:kern w:val="0"/>
          <w:sz w:val="32"/>
          <w:szCs w:val="32"/>
          <w:lang w:val="en-US" w:eastAsia="zh-CN"/>
        </w:rPr>
        <w:t>5.</w:t>
      </w:r>
      <w:r>
        <w:rPr>
          <w:rFonts w:hint="eastAsia" w:ascii="仿宋_GB2312" w:hAnsi="宋体" w:eastAsia="仿宋_GB2312" w:cs="宋体"/>
          <w:b w:val="0"/>
          <w:bCs w:val="0"/>
          <w:color w:val="000000"/>
          <w:kern w:val="0"/>
          <w:sz w:val="32"/>
          <w:szCs w:val="32"/>
          <w:lang w:val="en" w:eastAsia="zh-CN"/>
        </w:rPr>
        <w:t>通过</w:t>
      </w:r>
      <w:r>
        <w:rPr>
          <w:rFonts w:hint="eastAsia" w:ascii="仿宋_GB2312" w:hAnsi="仿宋_GB2312" w:eastAsia="仿宋_GB2312" w:cs="仿宋_GB2312"/>
          <w:b w:val="0"/>
          <w:bCs w:val="0"/>
          <w:kern w:val="2"/>
          <w:sz w:val="32"/>
          <w:szCs w:val="32"/>
          <w:highlight w:val="none"/>
          <w:lang w:val="en-US" w:eastAsia="zh-CN" w:bidi="ar-SA"/>
        </w:rPr>
        <w:t>加强党员队伍管理，做好发展党员工作等，</w:t>
      </w:r>
      <w:r>
        <w:rPr>
          <w:rFonts w:hint="eastAsia" w:ascii="仿宋_GB2312" w:hAnsi="宋体" w:eastAsia="仿宋_GB2312" w:cs="宋体"/>
          <w:b w:val="0"/>
          <w:bCs w:val="0"/>
          <w:color w:val="000000"/>
          <w:kern w:val="0"/>
          <w:sz w:val="32"/>
          <w:szCs w:val="32"/>
          <w:lang w:val="en" w:eastAsia="zh-CN"/>
        </w:rPr>
        <w:t>有序推进各项党建基础工作。</w:t>
      </w:r>
      <w:r>
        <w:rPr>
          <w:rFonts w:hint="eastAsia" w:ascii="仿宋_GB2312" w:hAnsi="仿宋_GB2312" w:eastAsia="仿宋_GB2312" w:cs="仿宋_GB2312"/>
          <w:b w:val="0"/>
          <w:bCs w:val="0"/>
          <w:kern w:val="2"/>
          <w:sz w:val="32"/>
          <w:szCs w:val="32"/>
          <w:lang w:val="en-US" w:eastAsia="zh-CN" w:bidi="ar-SA"/>
        </w:rPr>
        <w:t>2020年共吸收入党积极分子44名，确定发展对象15名，审批接收预备党员9名，审批预备党员转正10名。6.</w:t>
      </w:r>
      <w:r>
        <w:rPr>
          <w:rFonts w:hint="eastAsia" w:ascii="仿宋_GB2312" w:hAnsi="楷体_GB2312" w:eastAsia="仿宋_GB2312" w:cs="楷体_GB2312"/>
          <w:b w:val="0"/>
          <w:bCs w:val="0"/>
          <w:color w:val="auto"/>
          <w:sz w:val="32"/>
          <w:szCs w:val="32"/>
          <w:lang w:val="en-US" w:eastAsia="zh-CN"/>
        </w:rPr>
        <w:t>严格落实法治建设工作责任制，引导商（协）会、会员企业深入学习宣传宪法、公共法、民法典等相关法律知识，推动布吉、吉华、横岗、南湾街道商会成立人民调解组织，2020年维护会员合法权益384起，涉及金额7163万元。</w:t>
      </w:r>
      <w:r>
        <w:rPr>
          <w:rFonts w:hint="eastAsia" w:ascii="仿宋_GB2312" w:hAnsi="宋体" w:eastAsia="仿宋_GB2312" w:cs="宋体"/>
          <w:b w:val="0"/>
          <w:bCs w:val="0"/>
          <w:color w:val="000000"/>
          <w:kern w:val="0"/>
          <w:sz w:val="32"/>
          <w:szCs w:val="32"/>
          <w:lang w:val="en-US" w:eastAsia="zh-CN"/>
        </w:rPr>
        <w:t>7.</w:t>
      </w:r>
      <w:r>
        <w:rPr>
          <w:rFonts w:hint="eastAsia" w:ascii="仿宋_GB2312" w:hAnsi="宋体" w:eastAsia="仿宋_GB2312" w:cs="宋体"/>
          <w:b w:val="0"/>
          <w:bCs w:val="0"/>
          <w:color w:val="000000"/>
          <w:kern w:val="0"/>
          <w:sz w:val="32"/>
          <w:szCs w:val="32"/>
          <w:lang w:val="en" w:eastAsia="zh-CN"/>
        </w:rPr>
        <w:t>聚焦精准扶贫，</w:t>
      </w:r>
      <w:r>
        <w:rPr>
          <w:rFonts w:hint="eastAsia" w:ascii="仿宋_GB2312" w:hAnsi="仿宋_GB2312" w:eastAsia="仿宋_GB2312" w:cs="仿宋_GB2312"/>
          <w:b w:val="0"/>
          <w:bCs w:val="0"/>
          <w:kern w:val="2"/>
          <w:sz w:val="32"/>
          <w:szCs w:val="32"/>
          <w:lang w:val="en-US" w:eastAsia="zh-CN" w:bidi="ar-SA"/>
        </w:rPr>
        <w:t>引导执委会爱心企业家向广西那坡、靖西市，贵州大方，广东海丰对口扶贫、公益慈善扶贫捐款434.88万元，</w:t>
      </w:r>
      <w:r>
        <w:rPr>
          <w:rFonts w:hint="eastAsia" w:ascii="仿宋_GB2312" w:hAnsi="宋体" w:eastAsia="仿宋_GB2312" w:cs="宋体"/>
          <w:b w:val="0"/>
          <w:bCs w:val="0"/>
          <w:color w:val="000000"/>
          <w:kern w:val="0"/>
          <w:sz w:val="32"/>
          <w:szCs w:val="32"/>
          <w:lang w:val="en" w:eastAsia="zh-CN"/>
        </w:rPr>
        <w:t>做好广西靖西市、那坡县两地资助贫困大学生的“结对助学”工作共捐助135万元等，推动企业履行社会责任。机关</w:t>
      </w:r>
      <w:r>
        <w:rPr>
          <w:rFonts w:hint="eastAsia" w:ascii="仿宋_GB2312" w:hAnsi="仿宋_GB2312" w:eastAsia="仿宋_GB2312" w:cs="仿宋_GB2312"/>
          <w:b w:val="0"/>
          <w:bCs w:val="0"/>
          <w:sz w:val="32"/>
          <w:szCs w:val="32"/>
          <w:lang w:eastAsia="zh-CN" w:bidi="ar"/>
        </w:rPr>
        <w:t>所负责的</w:t>
      </w:r>
      <w:r>
        <w:rPr>
          <w:rFonts w:hint="eastAsia" w:ascii="仿宋_GB2312" w:hAnsi="仿宋_GB2312" w:eastAsia="仿宋_GB2312" w:cs="仿宋_GB2312"/>
          <w:b w:val="0"/>
          <w:bCs w:val="0"/>
          <w:sz w:val="32"/>
          <w:szCs w:val="32"/>
          <w:lang w:val="en-US" w:eastAsia="zh-CN" w:bidi="ar"/>
        </w:rPr>
        <w:t>9户贫困户实现了100%退出贫困的目标。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楷体" w:hAnsi="楷体" w:eastAsia="楷体"/>
          <w:bCs/>
          <w:color w:val="auto"/>
          <w:sz w:val="32"/>
          <w:szCs w:val="32"/>
        </w:rPr>
      </w:pPr>
      <w:r>
        <w:rPr>
          <w:rFonts w:hint="eastAsia" w:ascii="楷体" w:hAnsi="楷体" w:eastAsia="楷体"/>
          <w:bCs/>
          <w:color w:val="auto"/>
          <w:sz w:val="32"/>
          <w:szCs w:val="32"/>
        </w:rPr>
        <w:t>（三）部门履职绩效情况</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color w:val="FF0000"/>
          <w:kern w:val="0"/>
          <w:sz w:val="32"/>
          <w:szCs w:val="32"/>
        </w:rPr>
      </w:pPr>
      <w:r>
        <w:rPr>
          <w:rFonts w:hint="eastAsia" w:ascii="仿宋_GB2312" w:hAnsi="仿宋_GB2312" w:eastAsia="仿宋_GB2312" w:cs="仿宋_GB2312"/>
          <w:b w:val="0"/>
          <w:bCs/>
          <w:color w:val="auto"/>
          <w:sz w:val="32"/>
          <w:szCs w:val="32"/>
          <w:highlight w:val="none"/>
          <w:lang w:val="en-US" w:eastAsia="zh-CN"/>
        </w:rPr>
        <w:t>2020年各项主要工作任务圆满完成，取得了一定社会、经济、环境效益，未接到群众信访意见，公众满意度高。总之，通过加强绩效预算，财政资金得到有效使用，行政效率得到提高。</w:t>
      </w:r>
    </w:p>
    <w:p>
      <w:pPr>
        <w:keepNext w:val="0"/>
        <w:keepLines w:val="0"/>
        <w:pageBreakBefore w:val="0"/>
        <w:widowControl w:val="0"/>
        <w:kinsoku/>
        <w:wordWrap/>
        <w:overflowPunct/>
        <w:topLinePunct w:val="0"/>
        <w:autoSpaceDE/>
        <w:autoSpaceDN/>
        <w:bidi w:val="0"/>
        <w:adjustRightInd/>
        <w:spacing w:line="560" w:lineRule="exact"/>
        <w:ind w:firstLine="627" w:firstLineChars="196"/>
        <w:textAlignment w:val="auto"/>
        <w:rPr>
          <w:rFonts w:ascii="黑体" w:hAnsi="黑体" w:eastAsia="黑体"/>
          <w:sz w:val="32"/>
          <w:szCs w:val="32"/>
        </w:rPr>
      </w:pPr>
      <w:r>
        <w:rPr>
          <w:rFonts w:hint="eastAsia" w:ascii="黑体" w:hAnsi="黑体" w:eastAsia="黑体"/>
          <w:sz w:val="32"/>
          <w:szCs w:val="32"/>
        </w:rPr>
        <w:t xml:space="preserve"> 三、总体评价和整改措施</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hint="eastAsia" w:ascii="楷体" w:hAnsi="楷体" w:eastAsia="楷体"/>
          <w:bCs/>
          <w:sz w:val="32"/>
          <w:szCs w:val="32"/>
        </w:rPr>
      </w:pPr>
      <w:r>
        <w:rPr>
          <w:rFonts w:hint="eastAsia" w:ascii="楷体" w:hAnsi="楷体" w:eastAsia="楷体"/>
          <w:bCs/>
          <w:sz w:val="32"/>
          <w:szCs w:val="32"/>
        </w:rPr>
        <w:t>（一）预算绩效管理工作主要经验、做法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bCs/>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我单位能够按照国家的法律法规加强预算绩效管理，不断完善内控制度，</w:t>
      </w:r>
      <w:r>
        <w:rPr>
          <w:rStyle w:val="15"/>
          <w:rFonts w:hint="eastAsia" w:ascii="仿宋_GB2312" w:hAnsi="仿宋_GB2312" w:eastAsia="仿宋_GB2312" w:cs="仿宋_GB2312"/>
          <w:color w:val="auto"/>
          <w:sz w:val="32"/>
          <w:szCs w:val="32"/>
          <w:shd w:val="clear" w:fill="FFFFFF"/>
          <w:lang w:val="en-US" w:eastAsia="zh-CN"/>
        </w:rPr>
        <w:t>建立预算绩效自评管理与动态监控相结合的工作机制，</w:t>
      </w:r>
      <w:r>
        <w:rPr>
          <w:rFonts w:hint="eastAsia" w:ascii="仿宋_GB2312" w:hAnsi="仿宋_GB2312" w:eastAsia="仿宋_GB2312" w:cs="仿宋_GB2312"/>
          <w:color w:val="auto"/>
          <w:sz w:val="32"/>
          <w:szCs w:val="32"/>
          <w:shd w:val="clear" w:fill="FFFFFF"/>
        </w:rPr>
        <w:t>全程跟踪目标实现程度和预算资金执行情况，充分发挥绩效监控的预警、纠偏功能，发现问题及时纠错，防止资金沉淀闲置，确保绩效目标按期保质保量实现。</w:t>
      </w:r>
      <w:r>
        <w:rPr>
          <w:rFonts w:hint="eastAsia" w:ascii="仿宋_GB2312" w:hAnsi="仿宋_GB2312" w:eastAsia="仿宋_GB2312" w:cs="仿宋_GB2312"/>
          <w:b w:val="0"/>
          <w:bCs/>
          <w:color w:val="auto"/>
          <w:sz w:val="32"/>
          <w:szCs w:val="32"/>
          <w:highlight w:val="none"/>
          <w:lang w:val="en-US" w:eastAsia="zh-CN"/>
        </w:rPr>
        <w:t>“三公”经费实际支出数小于预算安排的“三公”经费数。本次绩效自评分为98分。</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800" w:firstLineChars="250"/>
        <w:textAlignment w:val="auto"/>
        <w:rPr>
          <w:rFonts w:hint="eastAsia" w:ascii="楷体" w:hAnsi="楷体" w:eastAsia="楷体"/>
          <w:bCs/>
          <w:sz w:val="32"/>
          <w:szCs w:val="32"/>
        </w:rPr>
      </w:pPr>
      <w:r>
        <w:rPr>
          <w:rFonts w:hint="eastAsia" w:ascii="楷体" w:hAnsi="楷体" w:eastAsia="楷体"/>
          <w:bCs/>
          <w:sz w:val="32"/>
          <w:szCs w:val="32"/>
        </w:rPr>
        <w:t>部门整体支出绩效存在问题及改进措施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一是相关工作人员业务水平不够。整改措施：组织相关人员认真学习《中华人民共和国预算法实施条例》、《党政机关厉行节约反对浪费条例》，充分认识财政紧约束、紧平衡的新形势，把厉行节约、反对浪费体现到具体工作中，严格控制公务支出，切实加强经费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二是预算资金使用计划性有待加强。整改措施：完善用款计划管理，更科学合理的编制资金使用计划，进一步细化收支项目，按项目、按时间、按进度支出，提高资金的使用效益。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三是进一步完善和健全管理制度。整改措施：完善预决算、收支、资产、工程、政府采购、合同等工作的业务流程，细化本单位六大经济活动内部控制管理的相关制度及业务流程，进一步规范内部权力运行、促进依法行政、加强廉政风险防范。</w:t>
      </w:r>
    </w:p>
    <w:p>
      <w:pPr>
        <w:keepNext w:val="0"/>
        <w:keepLines w:val="0"/>
        <w:pageBreakBefore w:val="0"/>
        <w:widowControl w:val="0"/>
        <w:numPr>
          <w:ilvl w:val="0"/>
          <w:numId w:val="1"/>
        </w:numPr>
        <w:kinsoku/>
        <w:wordWrap/>
        <w:overflowPunct/>
        <w:topLinePunct w:val="0"/>
        <w:autoSpaceDE/>
        <w:autoSpaceDN/>
        <w:bidi w:val="0"/>
        <w:adjustRightInd/>
        <w:spacing w:line="560" w:lineRule="exact"/>
        <w:ind w:left="0" w:leftChars="0" w:firstLine="800" w:firstLineChars="250"/>
        <w:textAlignment w:val="auto"/>
        <w:rPr>
          <w:rFonts w:hint="eastAsia" w:ascii="楷体" w:hAnsi="楷体" w:eastAsia="楷体"/>
          <w:bCs/>
          <w:sz w:val="32"/>
          <w:szCs w:val="32"/>
        </w:rPr>
      </w:pPr>
      <w:r>
        <w:rPr>
          <w:rFonts w:hint="eastAsia" w:ascii="楷体" w:hAnsi="楷体" w:eastAsia="楷体"/>
          <w:bCs/>
          <w:sz w:val="32"/>
          <w:szCs w:val="32"/>
        </w:rPr>
        <w:t>后续工作计划、相关建议等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 xml:space="preserve"> 一是科学合理编制预算，严格执行预算。进一步提高预算编制到位率，做准做全基本支出预算，做全项目支出预算，加强预算支出的审核、跟踪及预算执行情况分析，提高预算编制严谨性和可控性。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二是进一步加强项目资金管理。严格实行项目管理程序化，实现项目申报、实施、拨付、评价全流程监督与控制，规范专项资金管理，提高专项资金的使用效益。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 w:hAnsi="楷体" w:eastAsia="楷体"/>
          <w:bCs/>
          <w:sz w:val="32"/>
          <w:szCs w:val="32"/>
        </w:rPr>
      </w:pPr>
      <w:r>
        <w:rPr>
          <w:rFonts w:hint="eastAsia" w:ascii="仿宋_GB2312" w:hAnsi="仿宋_GB2312" w:eastAsia="仿宋_GB2312" w:cs="仿宋_GB2312"/>
          <w:b w:val="0"/>
          <w:bCs/>
          <w:color w:val="auto"/>
          <w:sz w:val="32"/>
          <w:szCs w:val="32"/>
          <w:highlight w:val="none"/>
          <w:lang w:val="en-US" w:eastAsia="zh-CN"/>
        </w:rPr>
        <w:t>三是进一步完善内部管理制度，提升管理效能，更好地履行生态文明建设职能。</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ascii="黑体" w:hAnsi="黑体" w:eastAsia="黑体"/>
          <w:sz w:val="32"/>
          <w:szCs w:val="32"/>
        </w:rPr>
      </w:pPr>
      <w:r>
        <w:rPr>
          <w:rFonts w:hint="eastAsia" w:ascii="黑体" w:hAnsi="黑体" w:eastAsia="黑体"/>
          <w:sz w:val="32"/>
          <w:szCs w:val="32"/>
        </w:rPr>
        <w:t>四、部门整体支出绩效评价指标评分情况</w:t>
      </w:r>
    </w:p>
    <w:p>
      <w:pPr>
        <w:keepNext w:val="0"/>
        <w:keepLines w:val="0"/>
        <w:pageBreakBefore w:val="0"/>
        <w:widowControl w:val="0"/>
        <w:kinsoku/>
        <w:wordWrap/>
        <w:overflowPunct/>
        <w:topLinePunct w:val="0"/>
        <w:autoSpaceDE/>
        <w:autoSpaceDN/>
        <w:bidi w:val="0"/>
        <w:adjustRightInd/>
        <w:spacing w:line="560" w:lineRule="exact"/>
        <w:ind w:firstLine="800" w:firstLineChars="250"/>
        <w:textAlignment w:val="auto"/>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参照附件《部门整体支出绩效评价共性指标体系框架（20</w:t>
      </w:r>
      <w:r>
        <w:rPr>
          <w:rFonts w:hint="eastAsia" w:ascii="仿宋_GB2312" w:eastAsia="仿宋_GB2312"/>
          <w:sz w:val="32"/>
          <w:szCs w:val="32"/>
          <w:lang w:val="en-US" w:eastAsia="zh-CN"/>
        </w:rPr>
        <w:t>20</w:t>
      </w:r>
      <w:r>
        <w:rPr>
          <w:rFonts w:hint="eastAsia" w:ascii="仿宋_GB2312" w:eastAsia="仿宋_GB2312"/>
          <w:sz w:val="32"/>
          <w:szCs w:val="32"/>
        </w:rPr>
        <w:t>年度）》，设计本部门整体绩效评价指标体系进行自评，填报得分情况和扣分、整改情况</w:t>
      </w:r>
      <w:r>
        <w:rPr>
          <w:rFonts w:hint="eastAsia" w:ascii="仿宋_GB2312" w:eastAsia="仿宋_GB2312" w:cs="仿宋_GB2312"/>
          <w:color w:val="auto"/>
          <w:sz w:val="32"/>
          <w:szCs w:val="32"/>
        </w:rPr>
        <w:t>（见</w:t>
      </w:r>
      <w:r>
        <w:rPr>
          <w:rFonts w:hint="eastAsia" w:ascii="仿宋_GB2312" w:eastAsia="仿宋_GB2312" w:cs="仿宋_GB2312"/>
          <w:color w:val="auto"/>
          <w:sz w:val="32"/>
          <w:szCs w:val="32"/>
          <w:lang w:eastAsia="zh-CN"/>
        </w:rPr>
        <w:t>附</w:t>
      </w:r>
      <w:r>
        <w:rPr>
          <w:rFonts w:hint="eastAsia" w:ascii="仿宋_GB2312" w:eastAsia="仿宋_GB2312" w:cs="仿宋_GB2312"/>
          <w:color w:val="auto"/>
          <w:sz w:val="32"/>
          <w:szCs w:val="32"/>
        </w:rPr>
        <w:t>表）</w:t>
      </w:r>
      <w:r>
        <w:rPr>
          <w:rFonts w:hint="eastAsia" w:ascii="仿宋_GB2312" w:eastAsia="仿宋_GB2312"/>
          <w:sz w:val="32"/>
          <w:szCs w:val="32"/>
        </w:rPr>
        <w:t>。</w:t>
      </w:r>
    </w:p>
    <w:p>
      <w:pPr>
        <w:tabs>
          <w:tab w:val="center" w:pos="6979"/>
        </w:tabs>
        <w:spacing w:line="620" w:lineRule="exact"/>
        <w:jc w:val="left"/>
        <w:rPr>
          <w:rFonts w:ascii="仿宋_GB2312" w:eastAsia="仿宋_GB2312"/>
          <w:sz w:val="28"/>
          <w:szCs w:val="28"/>
        </w:rPr>
      </w:pPr>
      <w:r>
        <w:rPr>
          <w:rFonts w:hint="eastAsia" w:ascii="仿宋_GB2312" w:eastAsia="仿宋_GB2312" w:cs="仿宋_GB2312"/>
          <w:sz w:val="28"/>
          <w:szCs w:val="28"/>
        </w:rPr>
        <w:t>附件：</w:t>
      </w:r>
    </w:p>
    <w:p>
      <w:pPr>
        <w:tabs>
          <w:tab w:val="center" w:pos="6979"/>
        </w:tabs>
        <w:spacing w:line="620" w:lineRule="exact"/>
        <w:jc w:val="center"/>
        <w:rPr>
          <w:sz w:val="28"/>
          <w:szCs w:val="28"/>
        </w:rPr>
      </w:pPr>
      <w:r>
        <w:rPr>
          <w:rFonts w:hint="eastAsia" w:ascii="方正小标宋简体" w:eastAsia="方正小标宋简体" w:cs="方正小标宋简体"/>
          <w:sz w:val="30"/>
          <w:szCs w:val="30"/>
        </w:rPr>
        <w:t>部门整体支出绩效评价共性指标体系框架（</w:t>
      </w:r>
      <w:r>
        <w:rPr>
          <w:rFonts w:ascii="方正小标宋简体" w:eastAsia="方正小标宋简体" w:cs="方正小标宋简体"/>
          <w:sz w:val="30"/>
          <w:szCs w:val="30"/>
        </w:rPr>
        <w:t>20</w:t>
      </w:r>
      <w:r>
        <w:rPr>
          <w:rFonts w:hint="eastAsia" w:ascii="方正小标宋简体" w:eastAsia="方正小标宋简体" w:cs="方正小标宋简体"/>
          <w:sz w:val="30"/>
          <w:szCs w:val="30"/>
          <w:lang w:val="en-US" w:eastAsia="zh-CN"/>
        </w:rPr>
        <w:t>20</w:t>
      </w:r>
      <w:r>
        <w:rPr>
          <w:rFonts w:hint="eastAsia" w:ascii="方正小标宋简体" w:eastAsia="方正小标宋简体" w:cs="方正小标宋简体"/>
          <w:sz w:val="30"/>
          <w:szCs w:val="30"/>
        </w:rPr>
        <w:t>年修订）</w:t>
      </w:r>
    </w:p>
    <w:tbl>
      <w:tblPr>
        <w:tblStyle w:val="7"/>
        <w:tblW w:w="15163" w:type="dxa"/>
        <w:tblInd w:w="0" w:type="dxa"/>
        <w:tblLayout w:type="fixed"/>
        <w:tblCellMar>
          <w:top w:w="0" w:type="dxa"/>
          <w:left w:w="108" w:type="dxa"/>
          <w:bottom w:w="0" w:type="dxa"/>
          <w:right w:w="108" w:type="dxa"/>
        </w:tblCellMar>
      </w:tblPr>
      <w:tblGrid>
        <w:gridCol w:w="577"/>
        <w:gridCol w:w="567"/>
        <w:gridCol w:w="567"/>
        <w:gridCol w:w="567"/>
        <w:gridCol w:w="851"/>
        <w:gridCol w:w="567"/>
        <w:gridCol w:w="2536"/>
        <w:gridCol w:w="5812"/>
        <w:gridCol w:w="709"/>
        <w:gridCol w:w="2410"/>
      </w:tblGrid>
      <w:tr>
        <w:tblPrEx>
          <w:tblCellMar>
            <w:top w:w="0" w:type="dxa"/>
            <w:left w:w="108" w:type="dxa"/>
            <w:bottom w:w="0" w:type="dxa"/>
            <w:right w:w="108" w:type="dxa"/>
          </w:tblCellMar>
        </w:tblPrEx>
        <w:trPr>
          <w:trHeight w:val="180" w:hRule="atLeast"/>
          <w:tblHeader/>
        </w:trPr>
        <w:tc>
          <w:tcPr>
            <w:tcW w:w="3696" w:type="dxa"/>
            <w:gridSpan w:val="6"/>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评价指标</w:t>
            </w:r>
          </w:p>
        </w:tc>
        <w:tc>
          <w:tcPr>
            <w:tcW w:w="2536"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指标说明</w:t>
            </w:r>
          </w:p>
        </w:tc>
        <w:tc>
          <w:tcPr>
            <w:tcW w:w="5812" w:type="dxa"/>
            <w:vMerge w:val="restart"/>
            <w:tcBorders>
              <w:top w:val="single" w:color="auto" w:sz="4" w:space="0"/>
              <w:left w:val="nil"/>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参考评分标准</w:t>
            </w:r>
          </w:p>
        </w:tc>
        <w:tc>
          <w:tcPr>
            <w:tcW w:w="709" w:type="dxa"/>
            <w:vMerge w:val="restart"/>
            <w:tcBorders>
              <w:top w:val="single" w:color="auto" w:sz="4" w:space="0"/>
              <w:left w:val="nil"/>
              <w:right w:val="single" w:color="auto" w:sz="4" w:space="0"/>
            </w:tcBorders>
            <w:vAlign w:val="center"/>
          </w:tcPr>
          <w:p>
            <w:pPr>
              <w:spacing w:line="320" w:lineRule="exact"/>
              <w:jc w:val="center"/>
              <w:rPr>
                <w:rFonts w:ascii="黑体" w:hAnsi="黑体" w:eastAsia="黑体" w:cs="黑体"/>
                <w:kern w:val="0"/>
              </w:rPr>
            </w:pPr>
            <w:r>
              <w:rPr>
                <w:rFonts w:hint="eastAsia" w:ascii="黑体" w:hAnsi="黑体" w:eastAsia="黑体"/>
                <w:kern w:val="0"/>
                <w:szCs w:val="21"/>
              </w:rPr>
              <w:t>得分情况</w:t>
            </w:r>
          </w:p>
        </w:tc>
        <w:tc>
          <w:tcPr>
            <w:tcW w:w="2410" w:type="dxa"/>
            <w:vMerge w:val="restart"/>
            <w:tcBorders>
              <w:top w:val="single" w:color="auto" w:sz="4" w:space="0"/>
              <w:left w:val="nil"/>
              <w:right w:val="single" w:color="auto" w:sz="4" w:space="0"/>
            </w:tcBorders>
            <w:vAlign w:val="center"/>
          </w:tcPr>
          <w:p>
            <w:pPr>
              <w:spacing w:line="320" w:lineRule="exact"/>
              <w:jc w:val="center"/>
              <w:rPr>
                <w:rFonts w:ascii="黑体" w:hAnsi="黑体" w:eastAsia="黑体" w:cs="黑体"/>
                <w:kern w:val="0"/>
              </w:rPr>
            </w:pPr>
            <w:r>
              <w:rPr>
                <w:rFonts w:hint="eastAsia" w:ascii="黑体" w:hAnsi="黑体" w:eastAsia="黑体"/>
                <w:kern w:val="0"/>
                <w:szCs w:val="21"/>
              </w:rPr>
              <w:t>扣分</w:t>
            </w:r>
            <w:r>
              <w:rPr>
                <w:rFonts w:hint="eastAsia" w:ascii="黑体" w:hAnsi="黑体" w:eastAsia="黑体"/>
                <w:kern w:val="0"/>
              </w:rPr>
              <w:t>情况及整改情况说明</w:t>
            </w:r>
          </w:p>
        </w:tc>
      </w:tr>
      <w:tr>
        <w:tblPrEx>
          <w:tblCellMar>
            <w:top w:w="0" w:type="dxa"/>
            <w:left w:w="108" w:type="dxa"/>
            <w:bottom w:w="0" w:type="dxa"/>
            <w:right w:w="108" w:type="dxa"/>
          </w:tblCellMar>
        </w:tblPrEx>
        <w:trPr>
          <w:trHeight w:val="463" w:hRule="atLeast"/>
          <w:tblHeader/>
        </w:trPr>
        <w:tc>
          <w:tcPr>
            <w:tcW w:w="1144" w:type="dxa"/>
            <w:gridSpan w:val="2"/>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一级指标</w:t>
            </w:r>
          </w:p>
        </w:tc>
        <w:tc>
          <w:tcPr>
            <w:tcW w:w="1134"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二级指标</w:t>
            </w:r>
          </w:p>
        </w:tc>
        <w:tc>
          <w:tcPr>
            <w:tcW w:w="1418" w:type="dxa"/>
            <w:gridSpan w:val="2"/>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三级指标</w:t>
            </w:r>
          </w:p>
        </w:tc>
        <w:tc>
          <w:tcPr>
            <w:tcW w:w="2536"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5812" w:type="dxa"/>
            <w:vMerge w:val="continue"/>
            <w:tcBorders>
              <w:left w:val="nil"/>
              <w:right w:val="single" w:color="auto" w:sz="4" w:space="0"/>
            </w:tcBorders>
            <w:vAlign w:val="center"/>
          </w:tcPr>
          <w:p>
            <w:pPr>
              <w:spacing w:line="320" w:lineRule="exact"/>
              <w:jc w:val="center"/>
              <w:rPr>
                <w:rFonts w:ascii="黑体" w:hAnsi="黑体" w:eastAsia="黑体"/>
                <w:kern w:val="0"/>
                <w:sz w:val="15"/>
                <w:szCs w:val="15"/>
              </w:rPr>
            </w:pPr>
          </w:p>
        </w:tc>
        <w:tc>
          <w:tcPr>
            <w:tcW w:w="709" w:type="dxa"/>
            <w:vMerge w:val="continue"/>
            <w:tcBorders>
              <w:left w:val="nil"/>
              <w:right w:val="single" w:color="auto" w:sz="4" w:space="0"/>
            </w:tcBorders>
          </w:tcPr>
          <w:p>
            <w:pPr>
              <w:spacing w:line="320" w:lineRule="exact"/>
              <w:jc w:val="center"/>
              <w:rPr>
                <w:rFonts w:ascii="黑体" w:hAnsi="黑体" w:eastAsia="黑体"/>
                <w:kern w:val="0"/>
                <w:sz w:val="15"/>
                <w:szCs w:val="15"/>
              </w:rPr>
            </w:pPr>
          </w:p>
        </w:tc>
        <w:tc>
          <w:tcPr>
            <w:tcW w:w="2410" w:type="dxa"/>
            <w:vMerge w:val="continue"/>
            <w:tcBorders>
              <w:left w:val="nil"/>
              <w:right w:val="single" w:color="auto" w:sz="4" w:space="0"/>
            </w:tcBorders>
          </w:tcPr>
          <w:p>
            <w:pPr>
              <w:spacing w:line="320" w:lineRule="exact"/>
              <w:jc w:val="center"/>
              <w:rPr>
                <w:rFonts w:ascii="黑体" w:hAnsi="黑体" w:eastAsia="黑体"/>
                <w:kern w:val="0"/>
                <w:sz w:val="15"/>
                <w:szCs w:val="15"/>
              </w:rPr>
            </w:pPr>
          </w:p>
        </w:tc>
      </w:tr>
      <w:tr>
        <w:tblPrEx>
          <w:tblCellMar>
            <w:top w:w="0" w:type="dxa"/>
            <w:left w:w="108" w:type="dxa"/>
            <w:bottom w:w="0" w:type="dxa"/>
            <w:right w:w="108" w:type="dxa"/>
          </w:tblCellMar>
        </w:tblPrEx>
        <w:trPr>
          <w:trHeight w:val="774" w:hRule="atLeast"/>
          <w:tblHeader/>
        </w:trPr>
        <w:tc>
          <w:tcPr>
            <w:tcW w:w="577"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851"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名称</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黑体" w:hAnsi="黑体" w:eastAsia="黑体"/>
                <w:kern w:val="0"/>
              </w:rPr>
            </w:pPr>
            <w:r>
              <w:rPr>
                <w:rFonts w:hint="eastAsia" w:ascii="黑体" w:hAnsi="黑体" w:eastAsia="黑体" w:cs="黑体"/>
                <w:kern w:val="0"/>
              </w:rPr>
              <w:t>参考分值</w:t>
            </w:r>
          </w:p>
        </w:tc>
        <w:tc>
          <w:tcPr>
            <w:tcW w:w="2536"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5812" w:type="dxa"/>
            <w:vMerge w:val="continue"/>
            <w:tcBorders>
              <w:left w:val="nil"/>
              <w:bottom w:val="single" w:color="auto" w:sz="4" w:space="0"/>
              <w:right w:val="single" w:color="auto" w:sz="4" w:space="0"/>
            </w:tcBorders>
            <w:vAlign w:val="center"/>
          </w:tcPr>
          <w:p>
            <w:pPr>
              <w:widowControl/>
              <w:spacing w:line="320" w:lineRule="exact"/>
              <w:jc w:val="center"/>
              <w:rPr>
                <w:rFonts w:ascii="黑体" w:hAnsi="黑体" w:eastAsia="黑体"/>
                <w:kern w:val="0"/>
                <w:sz w:val="15"/>
                <w:szCs w:val="15"/>
              </w:rPr>
            </w:pPr>
          </w:p>
        </w:tc>
        <w:tc>
          <w:tcPr>
            <w:tcW w:w="709" w:type="dxa"/>
            <w:vMerge w:val="continue"/>
            <w:tcBorders>
              <w:left w:val="nil"/>
              <w:bottom w:val="single" w:color="auto" w:sz="4" w:space="0"/>
              <w:right w:val="single" w:color="auto" w:sz="4" w:space="0"/>
            </w:tcBorders>
          </w:tcPr>
          <w:p>
            <w:pPr>
              <w:widowControl/>
              <w:spacing w:line="320" w:lineRule="exact"/>
              <w:jc w:val="center"/>
              <w:rPr>
                <w:rFonts w:ascii="黑体" w:hAnsi="黑体" w:eastAsia="黑体"/>
                <w:kern w:val="0"/>
                <w:szCs w:val="21"/>
              </w:rPr>
            </w:pPr>
          </w:p>
        </w:tc>
        <w:tc>
          <w:tcPr>
            <w:tcW w:w="2410" w:type="dxa"/>
            <w:vMerge w:val="continue"/>
            <w:tcBorders>
              <w:left w:val="nil"/>
              <w:bottom w:val="single" w:color="auto" w:sz="4" w:space="0"/>
              <w:right w:val="single" w:color="auto" w:sz="4" w:space="0"/>
            </w:tcBorders>
          </w:tcPr>
          <w:p>
            <w:pPr>
              <w:widowControl/>
              <w:spacing w:line="320" w:lineRule="exact"/>
              <w:jc w:val="center"/>
              <w:rPr>
                <w:rFonts w:ascii="黑体" w:hAnsi="黑体" w:eastAsia="黑体"/>
                <w:kern w:val="0"/>
                <w:szCs w:val="21"/>
              </w:rPr>
            </w:pPr>
          </w:p>
        </w:tc>
      </w:tr>
      <w:tr>
        <w:tblPrEx>
          <w:tblCellMar>
            <w:top w:w="0" w:type="dxa"/>
            <w:left w:w="108" w:type="dxa"/>
            <w:bottom w:w="0" w:type="dxa"/>
            <w:right w:w="108" w:type="dxa"/>
          </w:tblCellMar>
        </w:tblPrEx>
        <w:trPr>
          <w:trHeight w:val="3741" w:hRule="atLeast"/>
        </w:trPr>
        <w:tc>
          <w:tcPr>
            <w:tcW w:w="57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部门决策</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25</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预算编制</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10</w:t>
            </w: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预算编制合理性</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部门（单位）预算的合理性，即是否符合本部门职责、是否符合区委区政府的方针政策和工作要求，资金有无根据项目的轻重缓急进行分配。</w:t>
            </w:r>
          </w:p>
        </w:tc>
        <w:tc>
          <w:tcPr>
            <w:tcW w:w="5812"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部门预算编制、分配符合本部门职责、符合区委区政府方针政策和工作要求（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部门预算资金能根据年度工作重点，在不同项目、不同用途之间合理分配（</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3.</w:t>
            </w:r>
            <w:r>
              <w:rPr>
                <w:rFonts w:hint="eastAsia" w:ascii="宋体" w:hAnsi="宋体" w:cs="宋体"/>
                <w:kern w:val="0"/>
              </w:rPr>
              <w:t>专项资金预算编制细化程度合理，未出现因年中调剂导致部门预决算差异过大问题（</w:t>
            </w:r>
            <w:r>
              <w:rPr>
                <w:rFonts w:ascii="宋体" w:hAnsi="宋体" w:cs="宋体"/>
                <w:kern w:val="0"/>
              </w:rPr>
              <w:t>1</w:t>
            </w:r>
            <w:r>
              <w:rPr>
                <w:rFonts w:hint="eastAsia" w:ascii="宋体" w:hAnsi="宋体" w:cs="宋体"/>
                <w:kern w:val="0"/>
              </w:rPr>
              <w:t>分）；</w:t>
            </w:r>
            <w:r>
              <w:rPr>
                <w:rFonts w:ascii="宋体" w:hAnsi="宋体" w:cs="宋体"/>
                <w:kern w:val="0"/>
              </w:rPr>
              <w:t xml:space="preserve">                                                                                       </w:t>
            </w:r>
            <w:r>
              <w:rPr>
                <w:rFonts w:ascii="宋体" w:hAnsi="宋体" w:cs="宋体"/>
                <w:kern w:val="0"/>
              </w:rPr>
              <w:br w:type="textWrapping"/>
            </w:r>
            <w:r>
              <w:rPr>
                <w:rFonts w:ascii="宋体" w:hAnsi="宋体" w:cs="宋体"/>
                <w:kern w:val="0"/>
              </w:rPr>
              <w:t xml:space="preserve">   4.</w:t>
            </w:r>
            <w:r>
              <w:rPr>
                <w:rFonts w:hint="eastAsia" w:ascii="宋体" w:hAnsi="宋体" w:cs="宋体"/>
                <w:kern w:val="0"/>
              </w:rPr>
              <w:t>功能分类和经济分类编制准确，年度中间无大量调剂，未发生项目之间频繁调剂（</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5.</w:t>
            </w:r>
            <w:r>
              <w:rPr>
                <w:rFonts w:hint="eastAsia" w:ascii="宋体" w:hAnsi="宋体" w:cs="宋体"/>
                <w:kern w:val="0"/>
              </w:rPr>
              <w:t>部门预算分配不固化，能根据实际情况合理调整，不存在项目支出进度慢、完成率低、绩效较差，但连年持续安排预算等不合理的情况（</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2410" w:type="dxa"/>
            <w:tcBorders>
              <w:top w:val="nil"/>
              <w:left w:val="nil"/>
              <w:bottom w:val="single" w:color="auto" w:sz="4" w:space="0"/>
              <w:right w:val="single" w:color="auto" w:sz="4" w:space="0"/>
            </w:tcBorders>
          </w:tcPr>
          <w:p>
            <w:pPr>
              <w:widowControl/>
              <w:spacing w:line="300" w:lineRule="exact"/>
              <w:jc w:val="left"/>
              <w:rPr>
                <w:rFonts w:ascii="宋体" w:hAnsi="宋体" w:cs="宋体"/>
                <w:kern w:val="0"/>
              </w:rPr>
            </w:pPr>
          </w:p>
        </w:tc>
      </w:tr>
      <w:tr>
        <w:tblPrEx>
          <w:tblCellMar>
            <w:top w:w="0" w:type="dxa"/>
            <w:left w:w="108" w:type="dxa"/>
            <w:bottom w:w="0" w:type="dxa"/>
            <w:right w:w="108" w:type="dxa"/>
          </w:tblCellMar>
        </w:tblPrEx>
        <w:trPr>
          <w:trHeight w:val="168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预算编制规范性</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5</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部门（单位）预算编制是否符合财政部门当年度关于预算编制在规范性、完整性、细化程度等方面的原则和要求。</w:t>
            </w:r>
          </w:p>
        </w:tc>
        <w:tc>
          <w:tcPr>
            <w:tcW w:w="5812"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kern w:val="0"/>
              </w:rPr>
            </w:pPr>
            <w:r>
              <w:rPr>
                <w:rFonts w:ascii="宋体" w:hAnsi="宋体" w:cs="宋体"/>
                <w:kern w:val="0"/>
              </w:rPr>
              <w:t>1.</w:t>
            </w:r>
            <w:r>
              <w:rPr>
                <w:rFonts w:hint="eastAsia" w:ascii="宋体" w:hAnsi="宋体" w:cs="宋体"/>
                <w:kern w:val="0"/>
              </w:rPr>
              <w:t>部门（单位）预算编制符合财政部门当年度关于预算编制的各项原则和要求，符合专项资金预算编制、项目库管理、新增项目事前绩效评估等要求（</w:t>
            </w:r>
            <w:r>
              <w:rPr>
                <w:rFonts w:ascii="宋体" w:hAnsi="宋体" w:cs="宋体"/>
                <w:kern w:val="0"/>
              </w:rPr>
              <w:t>5</w:t>
            </w:r>
            <w:r>
              <w:rPr>
                <w:rFonts w:hint="eastAsia" w:ascii="宋体" w:hAnsi="宋体" w:cs="宋体"/>
                <w:kern w:val="0"/>
              </w:rPr>
              <w:t>分）；</w:t>
            </w:r>
          </w:p>
          <w:p>
            <w:pPr>
              <w:widowControl/>
              <w:spacing w:line="300" w:lineRule="exact"/>
              <w:ind w:firstLine="315" w:firstLineChars="150"/>
              <w:jc w:val="left"/>
              <w:rPr>
                <w:rFonts w:ascii="宋体"/>
                <w:kern w:val="0"/>
              </w:rPr>
            </w:pPr>
            <w:r>
              <w:rPr>
                <w:rFonts w:ascii="宋体" w:hAnsi="宋体" w:cs="宋体"/>
                <w:kern w:val="0"/>
              </w:rPr>
              <w:t>2.</w:t>
            </w:r>
            <w:r>
              <w:rPr>
                <w:rFonts w:hint="eastAsia" w:ascii="宋体" w:hAnsi="宋体" w:cs="宋体"/>
                <w:kern w:val="0"/>
              </w:rPr>
              <w:t>发现一项不符合的扣</w:t>
            </w:r>
            <w:r>
              <w:rPr>
                <w:rFonts w:ascii="宋体" w:hAnsi="宋体" w:cs="宋体"/>
                <w:kern w:val="0"/>
              </w:rPr>
              <w:t>1</w:t>
            </w:r>
            <w:r>
              <w:rPr>
                <w:rFonts w:hint="eastAsia" w:ascii="宋体" w:hAnsi="宋体" w:cs="宋体"/>
                <w:kern w:val="0"/>
              </w:rPr>
              <w:t>分，扣完为止。</w:t>
            </w:r>
          </w:p>
          <w:p>
            <w:pPr>
              <w:widowControl/>
              <w:spacing w:line="300" w:lineRule="exact"/>
              <w:ind w:firstLine="315" w:firstLineChars="150"/>
              <w:jc w:val="left"/>
              <w:rPr>
                <w:rFonts w:ascii="宋体"/>
                <w:kern w:val="0"/>
              </w:rPr>
            </w:pPr>
            <w:r>
              <w:rPr>
                <w:rFonts w:hint="eastAsia" w:ascii="宋体" w:hAnsi="宋体" w:cs="宋体"/>
                <w:kern w:val="0"/>
              </w:rPr>
              <w:t>本指标需对照相应年度由财政部门印发的部门预算编制工作方案、通知和有关制度文件，根据实际情况评分。</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2410" w:type="dxa"/>
            <w:tcBorders>
              <w:top w:val="nil"/>
              <w:left w:val="nil"/>
              <w:bottom w:val="single" w:color="auto" w:sz="4" w:space="0"/>
              <w:right w:val="single" w:color="auto" w:sz="4" w:space="0"/>
            </w:tcBorders>
          </w:tcPr>
          <w:p>
            <w:pPr>
              <w:widowControl/>
              <w:spacing w:line="300" w:lineRule="exact"/>
              <w:ind w:firstLine="315" w:firstLineChars="150"/>
              <w:jc w:val="left"/>
              <w:rPr>
                <w:rFonts w:ascii="宋体" w:hAnsi="宋体" w:cs="宋体"/>
                <w:kern w:val="0"/>
              </w:rPr>
            </w:pPr>
          </w:p>
        </w:tc>
      </w:tr>
      <w:tr>
        <w:tblPrEx>
          <w:tblCellMar>
            <w:top w:w="0" w:type="dxa"/>
            <w:left w:w="108" w:type="dxa"/>
            <w:bottom w:w="0" w:type="dxa"/>
            <w:right w:w="108" w:type="dxa"/>
          </w:tblCellMar>
        </w:tblPrEx>
        <w:trPr>
          <w:trHeight w:val="1621"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目标设置</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15</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绩效目标完整性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部门（单位）是否按要求编报项目绩效目标，是否依据充分、内容完整、覆盖全面、符合实际。</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部门（单位）按要求编报部门整体和项目的绩效目标，实现绩效目标全覆盖（</w:t>
            </w:r>
            <w:r>
              <w:rPr>
                <w:rFonts w:ascii="宋体" w:hAnsi="宋体" w:cs="宋体"/>
                <w:kern w:val="0"/>
              </w:rPr>
              <w:t>8</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没按要求编报绩效目标或绩效目标不符合要求的，一项扣</w:t>
            </w:r>
            <w:r>
              <w:rPr>
                <w:rFonts w:ascii="宋体" w:hAnsi="宋体" w:cs="宋体"/>
                <w:kern w:val="0"/>
              </w:rPr>
              <w:t>1</w:t>
            </w:r>
            <w:r>
              <w:rPr>
                <w:rFonts w:hint="eastAsia" w:ascii="宋体" w:hAnsi="宋体" w:cs="宋体"/>
                <w:kern w:val="0"/>
              </w:rPr>
              <w:t>分，扣完为止。</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8</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141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绩效指标明确性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7</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部门（单位）设定的绩效指标是否清晰、细化、可量化，用以反映和考核部门（单位）整体绩效目标的明细化情况。</w:t>
            </w:r>
          </w:p>
        </w:tc>
        <w:tc>
          <w:tcPr>
            <w:tcW w:w="581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ascii="宋体" w:hAnsi="宋体" w:cs="宋体"/>
                <w:kern w:val="0"/>
              </w:rPr>
              <w:t>1.</w:t>
            </w:r>
            <w:r>
              <w:rPr>
                <w:rFonts w:hint="eastAsia" w:ascii="宋体" w:hAnsi="宋体" w:cs="宋体"/>
                <w:kern w:val="0"/>
              </w:rPr>
              <w:t>绩效指标将部门整体绩效目标细化分解为具体工作任务，与部门年度任务数或计划数相对应（</w:t>
            </w:r>
            <w:r>
              <w:rPr>
                <w:rFonts w:ascii="宋体" w:hAnsi="宋体" w:cs="宋体"/>
                <w:kern w:val="0"/>
              </w:rPr>
              <w:t>2</w:t>
            </w:r>
            <w:r>
              <w:rPr>
                <w:rFonts w:hint="eastAsia" w:ascii="宋体" w:hAnsi="宋体" w:cs="宋体"/>
                <w:kern w:val="0"/>
              </w:rPr>
              <w:t>分）；</w:t>
            </w:r>
          </w:p>
          <w:p>
            <w:pPr>
              <w:widowControl/>
              <w:spacing w:line="320" w:lineRule="exact"/>
              <w:ind w:firstLine="420" w:firstLineChars="200"/>
              <w:rPr>
                <w:rFonts w:ascii="宋体"/>
                <w:kern w:val="0"/>
              </w:rPr>
            </w:pPr>
            <w:r>
              <w:rPr>
                <w:rFonts w:ascii="宋体" w:hAnsi="宋体" w:cs="宋体"/>
                <w:kern w:val="0"/>
              </w:rPr>
              <w:t>2.</w:t>
            </w:r>
            <w:r>
              <w:rPr>
                <w:rFonts w:hint="eastAsia" w:ascii="宋体" w:hAnsi="宋体" w:cs="宋体"/>
                <w:kern w:val="0"/>
              </w:rPr>
              <w:t>绩效指标中包含能够明确体现部门（单位）履职效果的社会、经济、生态效益指标（</w:t>
            </w:r>
            <w:r>
              <w:rPr>
                <w:rFonts w:ascii="宋体" w:hAnsi="宋体" w:cs="宋体"/>
                <w:kern w:val="0"/>
              </w:rPr>
              <w:t>2</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绩效指标具有清晰、可衡量的指标值（</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ascii="宋体" w:cs="宋体"/>
                <w:kern w:val="0"/>
              </w:rPr>
              <w:t>.</w:t>
            </w:r>
            <w:r>
              <w:rPr>
                <w:rFonts w:hint="eastAsia" w:ascii="宋体" w:hAnsi="宋体" w:cs="宋体"/>
                <w:kern w:val="0"/>
              </w:rPr>
              <w:t>绩效指标包含可量化的指标（</w:t>
            </w:r>
            <w:r>
              <w:rPr>
                <w:rFonts w:ascii="宋体" w:hAnsi="宋体" w:cs="宋体"/>
                <w:kern w:val="0"/>
              </w:rPr>
              <w:t>1</w:t>
            </w:r>
            <w:r>
              <w:rPr>
                <w:rFonts w:hint="eastAsia" w:ascii="宋体" w:hAnsi="宋体" w:cs="宋体"/>
                <w:kern w:val="0"/>
              </w:rPr>
              <w:t>分）；</w:t>
            </w:r>
          </w:p>
          <w:p>
            <w:pPr>
              <w:widowControl/>
              <w:spacing w:line="320" w:lineRule="exact"/>
              <w:rPr>
                <w:rFonts w:ascii="宋体"/>
                <w:kern w:val="0"/>
              </w:rPr>
            </w:pPr>
            <w:r>
              <w:rPr>
                <w:rFonts w:ascii="宋体" w:hAnsi="宋体" w:cs="宋体"/>
                <w:kern w:val="0"/>
              </w:rPr>
              <w:t xml:space="preserve">    5</w:t>
            </w:r>
            <w:r>
              <w:rPr>
                <w:rFonts w:ascii="宋体" w:cs="宋体"/>
                <w:kern w:val="0"/>
              </w:rPr>
              <w:t>.</w:t>
            </w:r>
            <w:r>
              <w:rPr>
                <w:rFonts w:hint="eastAsia" w:ascii="宋体" w:hAnsi="宋体" w:cs="宋体"/>
                <w:kern w:val="0"/>
              </w:rPr>
              <w:t>绩效目标的目标值测算能提供相关依据或符合客观实际情况（</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color w:val="auto"/>
                <w:kern w:val="0"/>
                <w:lang w:val="en-US" w:eastAsia="zh-CN"/>
              </w:rPr>
              <w:t>7</w:t>
            </w:r>
          </w:p>
        </w:tc>
        <w:tc>
          <w:tcPr>
            <w:tcW w:w="2410" w:type="dxa"/>
            <w:tcBorders>
              <w:top w:val="nil"/>
              <w:left w:val="nil"/>
              <w:bottom w:val="single" w:color="auto" w:sz="4" w:space="0"/>
              <w:right w:val="single" w:color="auto" w:sz="4" w:space="0"/>
            </w:tcBorders>
          </w:tcPr>
          <w:p>
            <w:pPr>
              <w:widowControl/>
              <w:spacing w:line="32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359" w:hRule="atLeast"/>
        </w:trPr>
        <w:tc>
          <w:tcPr>
            <w:tcW w:w="57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20</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资金管理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政府采购执行情况</w:t>
            </w:r>
          </w:p>
        </w:tc>
        <w:tc>
          <w:tcPr>
            <w:tcW w:w="5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部门（单位）本年度实际政府采购金额与年度政府采购预算的比率，用以反映和考核部门（单位）政府采购预算执行情况；政府采购政策功能的执行和落实情况。</w:t>
            </w:r>
          </w:p>
        </w:tc>
        <w:tc>
          <w:tcPr>
            <w:tcW w:w="5812" w:type="dxa"/>
            <w:tcBorders>
              <w:top w:val="single" w:color="auto" w:sz="4" w:space="0"/>
              <w:left w:val="nil"/>
              <w:bottom w:val="single" w:color="auto" w:sz="4" w:space="0"/>
              <w:right w:val="single" w:color="auto" w:sz="4" w:space="0"/>
            </w:tcBorders>
            <w:vAlign w:val="center"/>
          </w:tcPr>
          <w:p>
            <w:pPr>
              <w:widowControl/>
              <w:spacing w:line="320" w:lineRule="exact"/>
              <w:ind w:firstLine="405"/>
              <w:rPr>
                <w:rFonts w:ascii="宋体"/>
                <w:kern w:val="0"/>
              </w:rPr>
            </w:pPr>
            <w:r>
              <w:rPr>
                <w:rFonts w:ascii="宋体" w:hAnsi="宋体" w:cs="宋体"/>
                <w:kern w:val="0"/>
              </w:rPr>
              <w:t>1.</w:t>
            </w:r>
            <w:r>
              <w:rPr>
                <w:rFonts w:hint="eastAsia" w:ascii="宋体" w:hAnsi="宋体" w:cs="宋体"/>
                <w:kern w:val="0"/>
              </w:rPr>
              <w:t>政府采购执行率得分</w:t>
            </w:r>
            <w:r>
              <w:rPr>
                <w:rFonts w:ascii="宋体" w:hAnsi="宋体" w:cs="宋体"/>
                <w:kern w:val="0"/>
              </w:rPr>
              <w:t>=</w:t>
            </w:r>
            <w:r>
              <w:rPr>
                <w:rFonts w:hint="eastAsia" w:ascii="宋体" w:hAnsi="宋体" w:cs="宋体"/>
                <w:kern w:val="0"/>
              </w:rPr>
              <w:t>政府采购执行率×</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政府采购执行率</w:t>
            </w:r>
            <w:r>
              <w:rPr>
                <w:rFonts w:ascii="宋体" w:hAnsi="宋体" w:cs="宋体"/>
                <w:kern w:val="0"/>
              </w:rPr>
              <w:t>=</w:t>
            </w:r>
            <w:r>
              <w:rPr>
                <w:rFonts w:hint="eastAsia" w:ascii="宋体" w:hAnsi="宋体" w:cs="宋体"/>
                <w:kern w:val="0"/>
              </w:rPr>
              <w:t>（实际采购金额合计数</w:t>
            </w:r>
            <w:r>
              <w:rPr>
                <w:rFonts w:ascii="宋体" w:hAnsi="宋体" w:cs="宋体"/>
                <w:kern w:val="0"/>
              </w:rPr>
              <w:t>/</w:t>
            </w:r>
            <w:r>
              <w:rPr>
                <w:rFonts w:hint="eastAsia" w:ascii="宋体" w:hAnsi="宋体" w:cs="宋体"/>
                <w:kern w:val="0"/>
              </w:rPr>
              <w:t>采购计划金额合计数）×</w:t>
            </w:r>
            <w:r>
              <w:rPr>
                <w:rFonts w:ascii="宋体" w:hAnsi="宋体" w:cs="宋体"/>
                <w:kern w:val="0"/>
              </w:rPr>
              <w:t>100%</w:t>
            </w:r>
            <w:r>
              <w:rPr>
                <w:rFonts w:ascii="宋体" w:hAnsi="宋体" w:cs="宋体"/>
                <w:kern w:val="0"/>
              </w:rPr>
              <w:br w:type="textWrapping"/>
            </w:r>
            <w:r>
              <w:rPr>
                <w:rFonts w:ascii="宋体" w:hAnsi="宋体" w:cs="宋体"/>
                <w:kern w:val="0"/>
              </w:rPr>
              <w:t xml:space="preserve">    </w:t>
            </w:r>
            <w:r>
              <w:rPr>
                <w:rFonts w:hint="eastAsia" w:ascii="宋体" w:hAnsi="宋体" w:cs="宋体"/>
                <w:kern w:val="0"/>
              </w:rPr>
              <w:t>如实际采购金额大于采购计划金额，本项得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w:t>
            </w:r>
            <w:r>
              <w:rPr>
                <w:rFonts w:hint="eastAsia" w:ascii="宋体" w:hAnsi="宋体" w:cs="宋体"/>
                <w:kern w:val="0"/>
              </w:rPr>
              <w:t>政府采购预算是指采购机关根据事业发展计划和行政任务编制的、并经过规定程序批准的年度政府采购计划。</w:t>
            </w:r>
          </w:p>
          <w:p>
            <w:pPr>
              <w:widowControl/>
              <w:spacing w:line="320" w:lineRule="exact"/>
              <w:ind w:firstLine="405"/>
              <w:rPr>
                <w:rFonts w:ascii="宋体"/>
                <w:kern w:val="0"/>
              </w:rPr>
            </w:pPr>
            <w:r>
              <w:rPr>
                <w:rFonts w:ascii="宋体" w:hAnsi="宋体" w:cs="宋体"/>
                <w:kern w:val="0"/>
              </w:rPr>
              <w:t>2.</w:t>
            </w:r>
            <w:r>
              <w:rPr>
                <w:rFonts w:hint="eastAsia" w:ascii="宋体" w:hAnsi="宋体" w:cs="宋体"/>
                <w:kern w:val="0"/>
              </w:rPr>
              <w:t>政府采购政策功能的执行和落实情况（</w:t>
            </w:r>
            <w:r>
              <w:rPr>
                <w:rFonts w:ascii="宋体" w:hAnsi="宋体" w:cs="宋体"/>
                <w:kern w:val="0"/>
              </w:rPr>
              <w:t>1</w:t>
            </w:r>
            <w:r>
              <w:rPr>
                <w:rFonts w:hint="eastAsia" w:ascii="宋体" w:hAnsi="宋体" w:cs="宋体"/>
                <w:kern w:val="0"/>
              </w:rPr>
              <w:t>分），落实不到位的酌情扣分。</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single" w:color="auto" w:sz="4" w:space="0"/>
              <w:left w:val="nil"/>
              <w:bottom w:val="single" w:color="auto" w:sz="4" w:space="0"/>
              <w:right w:val="single" w:color="auto" w:sz="4" w:space="0"/>
            </w:tcBorders>
          </w:tcPr>
          <w:p>
            <w:pPr>
              <w:widowControl/>
              <w:spacing w:line="320" w:lineRule="exact"/>
              <w:ind w:firstLine="405"/>
              <w:rPr>
                <w:rFonts w:ascii="宋体" w:hAnsi="宋体" w:cs="宋体"/>
                <w:kern w:val="0"/>
              </w:rPr>
            </w:pPr>
          </w:p>
        </w:tc>
      </w:tr>
      <w:tr>
        <w:tblPrEx>
          <w:tblCellMar>
            <w:top w:w="0" w:type="dxa"/>
            <w:left w:w="108" w:type="dxa"/>
            <w:bottom w:w="0" w:type="dxa"/>
            <w:right w:w="108" w:type="dxa"/>
          </w:tblCellMar>
        </w:tblPrEx>
        <w:trPr>
          <w:trHeight w:val="181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财务合规性</w:t>
            </w:r>
          </w:p>
        </w:tc>
        <w:tc>
          <w:tcPr>
            <w:tcW w:w="56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2536" w:type="dxa"/>
            <w:tcBorders>
              <w:top w:val="single" w:color="auto" w:sz="4" w:space="0"/>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资金支出规范性，包括资金管理、费用支出等制度是否严格执行；资金调整、调剂是否规范；会计核算是否规范、是否存在支出依据不合规、虚列项目支出的情况；是否存在截留、挤占、挪用项目资金情况。</w:t>
            </w:r>
          </w:p>
        </w:tc>
        <w:tc>
          <w:tcPr>
            <w:tcW w:w="5812" w:type="dxa"/>
            <w:tcBorders>
              <w:top w:val="single" w:color="auto" w:sz="4" w:space="0"/>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kern w:val="0"/>
              </w:rPr>
              <w:t>1.</w:t>
            </w:r>
            <w:r>
              <w:rPr>
                <w:rFonts w:hint="eastAsia" w:ascii="宋体" w:hAnsi="宋体" w:cs="宋体"/>
                <w:kern w:val="0"/>
              </w:rPr>
              <w:t>资金支出规范性（</w:t>
            </w:r>
            <w:r>
              <w:rPr>
                <w:rFonts w:ascii="宋体" w:hAnsi="宋体" w:cs="宋体"/>
                <w:kern w:val="0"/>
              </w:rPr>
              <w:t>1</w:t>
            </w:r>
            <w:r>
              <w:rPr>
                <w:rFonts w:hint="eastAsia" w:ascii="宋体" w:hAnsi="宋体" w:cs="宋体"/>
                <w:kern w:val="0"/>
              </w:rPr>
              <w:t>分）。资金管理、费用标准、支付符合有关制度规定，按事项完成进度支付资金的，得</w:t>
            </w:r>
            <w:r>
              <w:rPr>
                <w:rFonts w:ascii="宋体" w:hAnsi="宋体" w:cs="宋体"/>
                <w:kern w:val="0"/>
              </w:rPr>
              <w:t>1</w:t>
            </w:r>
            <w:r>
              <w:rPr>
                <w:rFonts w:hint="eastAsia" w:ascii="宋体" w:hAnsi="宋体" w:cs="宋体"/>
                <w:kern w:val="0"/>
              </w:rPr>
              <w:t>分，否则酌情扣分。</w:t>
            </w:r>
            <w:r>
              <w:rPr>
                <w:rFonts w:ascii="宋体"/>
                <w:kern w:val="0"/>
              </w:rPr>
              <w:br w:type="textWrapping"/>
            </w:r>
            <w:r>
              <w:rPr>
                <w:rFonts w:ascii="宋体" w:hAnsi="宋体" w:cs="宋体"/>
                <w:kern w:val="0"/>
              </w:rPr>
              <w:t xml:space="preserve">    2.</w:t>
            </w:r>
            <w:r>
              <w:rPr>
                <w:rFonts w:hint="eastAsia" w:ascii="宋体" w:hAnsi="宋体" w:cs="宋体"/>
                <w:kern w:val="0"/>
              </w:rPr>
              <w:t>资金调整、调剂规范性（</w:t>
            </w:r>
            <w:r>
              <w:rPr>
                <w:rFonts w:ascii="宋体" w:hAnsi="宋体" w:cs="宋体"/>
                <w:kern w:val="0"/>
              </w:rPr>
              <w:t>1</w:t>
            </w:r>
            <w:r>
              <w:rPr>
                <w:rFonts w:hint="eastAsia" w:ascii="宋体" w:hAnsi="宋体" w:cs="宋体"/>
                <w:kern w:val="0"/>
              </w:rPr>
              <w:t>分）。调整、调剂资金累计在本单位部门预算总规模</w:t>
            </w:r>
            <w:r>
              <w:rPr>
                <w:rFonts w:ascii="宋体" w:hAnsi="宋体" w:cs="宋体"/>
                <w:kern w:val="0"/>
              </w:rPr>
              <w:t>10%</w:t>
            </w:r>
            <w:r>
              <w:rPr>
                <w:rFonts w:hint="eastAsia" w:ascii="宋体" w:hAnsi="宋体" w:cs="宋体"/>
                <w:kern w:val="0"/>
              </w:rPr>
              <w:t>以内的，得</w:t>
            </w:r>
            <w:r>
              <w:rPr>
                <w:rFonts w:ascii="宋体" w:hAnsi="宋体" w:cs="宋体"/>
                <w:kern w:val="0"/>
              </w:rPr>
              <w:t>1</w:t>
            </w:r>
            <w:r>
              <w:rPr>
                <w:rFonts w:hint="eastAsia" w:ascii="宋体" w:hAnsi="宋体" w:cs="宋体"/>
                <w:kern w:val="0"/>
              </w:rPr>
              <w:t>分；超出</w:t>
            </w:r>
            <w:r>
              <w:rPr>
                <w:rFonts w:ascii="宋体" w:hAnsi="宋体" w:cs="宋体"/>
                <w:kern w:val="0"/>
              </w:rPr>
              <w:t>10%</w:t>
            </w:r>
            <w:r>
              <w:rPr>
                <w:rFonts w:hint="eastAsia" w:ascii="宋体" w:hAnsi="宋体" w:cs="宋体"/>
                <w:kern w:val="0"/>
              </w:rPr>
              <w:t>的，超出一个百分点扣</w:t>
            </w:r>
            <w:r>
              <w:rPr>
                <w:rFonts w:ascii="宋体" w:hAnsi="宋体" w:cs="宋体"/>
                <w:kern w:val="0"/>
              </w:rPr>
              <w:t>0.1</w:t>
            </w:r>
            <w:r>
              <w:rPr>
                <w:rFonts w:hint="eastAsia" w:ascii="宋体" w:hAnsi="宋体" w:cs="宋体"/>
                <w:kern w:val="0"/>
              </w:rPr>
              <w:t>分，直至</w:t>
            </w:r>
            <w:r>
              <w:rPr>
                <w:rFonts w:ascii="宋体" w:hAnsi="宋体" w:cs="宋体"/>
                <w:kern w:val="0"/>
              </w:rPr>
              <w:t>1</w:t>
            </w:r>
            <w:r>
              <w:rPr>
                <w:rFonts w:hint="eastAsia" w:ascii="宋体" w:hAnsi="宋体" w:cs="宋体"/>
                <w:kern w:val="0"/>
              </w:rPr>
              <w:t>分扣完为止。</w:t>
            </w:r>
          </w:p>
          <w:p>
            <w:pPr>
              <w:widowControl/>
              <w:spacing w:line="320" w:lineRule="exact"/>
              <w:ind w:firstLine="420" w:firstLineChars="200"/>
              <w:rPr>
                <w:rFonts w:ascii="宋体"/>
                <w:kern w:val="0"/>
              </w:rPr>
            </w:pPr>
            <w:r>
              <w:rPr>
                <w:rFonts w:ascii="宋体" w:hAnsi="宋体" w:cs="宋体"/>
                <w:kern w:val="0"/>
              </w:rPr>
              <w:t>3.</w:t>
            </w:r>
            <w:r>
              <w:rPr>
                <w:rFonts w:hint="eastAsia" w:ascii="宋体" w:hAnsi="宋体" w:cs="宋体"/>
                <w:kern w:val="0"/>
              </w:rPr>
              <w:t>会计核算规范性（</w:t>
            </w:r>
            <w:r>
              <w:rPr>
                <w:rFonts w:ascii="宋体" w:hAnsi="宋体" w:cs="宋体"/>
                <w:kern w:val="0"/>
              </w:rPr>
              <w:t>1</w:t>
            </w:r>
            <w:r>
              <w:rPr>
                <w:rFonts w:hint="eastAsia" w:ascii="宋体" w:hAnsi="宋体" w:cs="宋体"/>
                <w:kern w:val="0"/>
              </w:rPr>
              <w:t>分）。规范执行会计核算制度得</w:t>
            </w:r>
            <w:r>
              <w:rPr>
                <w:rFonts w:ascii="宋体" w:hAnsi="宋体" w:cs="宋体"/>
                <w:kern w:val="0"/>
              </w:rPr>
              <w:t>1</w:t>
            </w:r>
            <w:r>
              <w:rPr>
                <w:rFonts w:hint="eastAsia" w:ascii="宋体" w:hAnsi="宋体" w:cs="宋体"/>
                <w:kern w:val="0"/>
              </w:rPr>
              <w:t>分，未按规定设专账核算、支出凭证不符合规定或其他核算不规范，酌情扣分。</w:t>
            </w:r>
          </w:p>
          <w:p>
            <w:pPr>
              <w:widowControl/>
              <w:spacing w:line="320" w:lineRule="exact"/>
              <w:ind w:firstLine="420"/>
              <w:rPr>
                <w:rFonts w:ascii="宋体"/>
                <w:kern w:val="0"/>
              </w:rPr>
            </w:pPr>
            <w:r>
              <w:rPr>
                <w:rFonts w:ascii="宋体" w:hAnsi="宋体" w:cs="宋体"/>
                <w:kern w:val="0"/>
              </w:rPr>
              <w:t>4.</w:t>
            </w:r>
            <w:r>
              <w:rPr>
                <w:rFonts w:hint="eastAsia" w:ascii="宋体" w:hAnsi="宋体" w:cs="宋体"/>
                <w:kern w:val="0"/>
              </w:rPr>
              <w:t>发生超范围、超标准支出，虚列支出，截留、挤占、挪用资金的，以及其他不符合制度规定支出，本项指标得</w:t>
            </w:r>
            <w:r>
              <w:rPr>
                <w:rFonts w:ascii="宋体" w:cs="宋体"/>
                <w:kern w:val="0"/>
              </w:rPr>
              <w:t>0</w:t>
            </w:r>
            <w:r>
              <w:rPr>
                <w:rFonts w:hint="eastAsia" w:ascii="宋体" w:hAnsi="宋体" w:cs="宋体"/>
                <w:kern w:val="0"/>
              </w:rPr>
              <w:t>分。</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single" w:color="auto" w:sz="4" w:space="0"/>
              <w:left w:val="nil"/>
              <w:bottom w:val="single" w:color="auto" w:sz="4" w:space="0"/>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4298"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预决算信息公开</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部门（单位）在被评价年度是否按照政府信息公开有关规定公开相关预决算信息，用以反映部门（单位）预决算管理的公开透明情况。</w:t>
            </w:r>
          </w:p>
        </w:tc>
        <w:tc>
          <w:tcPr>
            <w:tcW w:w="5812" w:type="dxa"/>
            <w:tcBorders>
              <w:top w:val="nil"/>
              <w:left w:val="nil"/>
              <w:bottom w:val="single" w:color="auto" w:sz="4" w:space="0"/>
              <w:right w:val="single" w:color="auto" w:sz="4" w:space="0"/>
            </w:tcBorders>
            <w:vAlign w:val="center"/>
          </w:tcPr>
          <w:p>
            <w:pPr>
              <w:ind w:firstLine="420" w:firstLineChars="200"/>
              <w:rPr>
                <w:rFonts w:ascii="宋体" w:hAnsi="宋体"/>
              </w:rPr>
            </w:pPr>
            <w:r>
              <w:rPr>
                <w:rFonts w:ascii="宋体" w:hAnsi="宋体"/>
              </w:rPr>
              <w:t>1.</w:t>
            </w:r>
            <w:r>
              <w:rPr>
                <w:rFonts w:hint="eastAsia" w:ascii="宋体" w:hAnsi="宋体"/>
              </w:rPr>
              <w:t>部门预算公开（</w:t>
            </w:r>
            <w:r>
              <w:rPr>
                <w:rFonts w:ascii="宋体" w:hAnsi="宋体"/>
              </w:rPr>
              <w:t>1.5</w:t>
            </w:r>
            <w:r>
              <w:rPr>
                <w:rFonts w:hint="eastAsia" w:ascii="宋体" w:hAnsi="宋体"/>
              </w:rPr>
              <w:t>分），按以下标准分档计分：</w:t>
            </w:r>
            <w:r>
              <w:rPr>
                <w:rFonts w:ascii="宋体" w:hAnsi="宋体"/>
              </w:rPr>
              <w:br w:type="textWrapping"/>
            </w:r>
            <w:r>
              <w:rPr>
                <w:rFonts w:ascii="宋体" w:hAnsi="宋体"/>
              </w:rPr>
              <w:t xml:space="preserve">    </w:t>
            </w:r>
            <w:r>
              <w:rPr>
                <w:rFonts w:hint="eastAsia" w:ascii="宋体" w:hAnsi="宋体"/>
              </w:rPr>
              <w:t>（</w:t>
            </w:r>
            <w:r>
              <w:rPr>
                <w:rFonts w:ascii="宋体" w:hAnsi="宋体"/>
              </w:rPr>
              <w:t>1</w:t>
            </w:r>
            <w:r>
              <w:rPr>
                <w:rFonts w:hint="eastAsia" w:ascii="宋体" w:hAnsi="宋体"/>
              </w:rPr>
              <w:t>）按规定内容、时限、范围等各项要求进行公开的，得</w:t>
            </w:r>
            <w:r>
              <w:rPr>
                <w:rFonts w:ascii="宋体" w:hAnsi="宋体"/>
              </w:rPr>
              <w:t>1.5</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2</w:t>
            </w:r>
            <w:r>
              <w:rPr>
                <w:rFonts w:hint="eastAsia" w:ascii="宋体" w:hAnsi="宋体"/>
              </w:rPr>
              <w:t>）进行了公开，存在不符合时限、内容、范围等要求的，得</w:t>
            </w:r>
            <w:r>
              <w:rPr>
                <w:rFonts w:ascii="宋体" w:hAnsi="宋体"/>
              </w:rPr>
              <w:t>1</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3</w:t>
            </w:r>
            <w:r>
              <w:rPr>
                <w:rFonts w:hint="eastAsia" w:ascii="宋体" w:hAnsi="宋体"/>
              </w:rPr>
              <w:t>）没有进行公开的，得</w:t>
            </w:r>
            <w:r>
              <w:rPr>
                <w:rFonts w:ascii="宋体" w:hAnsi="宋体"/>
              </w:rPr>
              <w:t>0</w:t>
            </w:r>
            <w:r>
              <w:rPr>
                <w:rFonts w:hint="eastAsia" w:ascii="宋体" w:hAnsi="宋体"/>
              </w:rPr>
              <w:t>分。</w:t>
            </w:r>
            <w:r>
              <w:rPr>
                <w:rFonts w:ascii="宋体" w:hAnsi="宋体"/>
              </w:rPr>
              <w:br w:type="textWrapping"/>
            </w:r>
            <w:r>
              <w:rPr>
                <w:rFonts w:ascii="宋体" w:hAnsi="宋体"/>
              </w:rPr>
              <w:t xml:space="preserve">    2.</w:t>
            </w:r>
            <w:r>
              <w:rPr>
                <w:rFonts w:hint="eastAsia" w:ascii="宋体" w:hAnsi="宋体"/>
              </w:rPr>
              <w:t>部门决算公开（</w:t>
            </w:r>
            <w:r>
              <w:rPr>
                <w:rFonts w:ascii="宋体" w:hAnsi="宋体"/>
              </w:rPr>
              <w:t>1.5</w:t>
            </w:r>
            <w:r>
              <w:rPr>
                <w:rFonts w:hint="eastAsia" w:ascii="宋体" w:hAnsi="宋体"/>
              </w:rPr>
              <w:t>分），按以下标准分档计分：</w:t>
            </w:r>
            <w:r>
              <w:rPr>
                <w:rFonts w:ascii="宋体" w:hAnsi="宋体"/>
              </w:rPr>
              <w:br w:type="textWrapping"/>
            </w:r>
            <w:r>
              <w:rPr>
                <w:rFonts w:ascii="宋体" w:hAnsi="宋体"/>
              </w:rPr>
              <w:t xml:space="preserve">    </w:t>
            </w:r>
            <w:r>
              <w:rPr>
                <w:rFonts w:hint="eastAsia" w:ascii="宋体" w:hAnsi="宋体"/>
              </w:rPr>
              <w:t>（</w:t>
            </w:r>
            <w:r>
              <w:rPr>
                <w:rFonts w:ascii="宋体" w:hAnsi="宋体"/>
              </w:rPr>
              <w:t>1</w:t>
            </w:r>
            <w:r>
              <w:rPr>
                <w:rFonts w:hint="eastAsia" w:ascii="宋体" w:hAnsi="宋体"/>
              </w:rPr>
              <w:t>）按规定内容、时限、范围等各项要求进行公开的，得</w:t>
            </w:r>
            <w:r>
              <w:rPr>
                <w:rFonts w:ascii="宋体" w:hAnsi="宋体"/>
              </w:rPr>
              <w:t>1.5</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2</w:t>
            </w:r>
            <w:r>
              <w:rPr>
                <w:rFonts w:hint="eastAsia" w:ascii="宋体" w:hAnsi="宋体"/>
              </w:rPr>
              <w:t>）进行了公开，存在不符合时限、内容、范围等要求的，得</w:t>
            </w:r>
            <w:r>
              <w:rPr>
                <w:rFonts w:ascii="宋体" w:hAnsi="宋体"/>
              </w:rPr>
              <w:t>1</w:t>
            </w:r>
            <w:r>
              <w:rPr>
                <w:rFonts w:hint="eastAsia" w:ascii="宋体" w:hAnsi="宋体"/>
              </w:rPr>
              <w:t>分。</w:t>
            </w:r>
            <w:r>
              <w:rPr>
                <w:rFonts w:ascii="宋体" w:hAnsi="宋体"/>
              </w:rPr>
              <w:br w:type="textWrapping"/>
            </w:r>
            <w:r>
              <w:rPr>
                <w:rFonts w:ascii="宋体" w:hAnsi="宋体"/>
              </w:rPr>
              <w:t xml:space="preserve">    </w:t>
            </w:r>
            <w:r>
              <w:rPr>
                <w:rFonts w:hint="eastAsia" w:ascii="宋体" w:hAnsi="宋体"/>
              </w:rPr>
              <w:t>（</w:t>
            </w:r>
            <w:r>
              <w:rPr>
                <w:rFonts w:ascii="宋体" w:hAnsi="宋体"/>
              </w:rPr>
              <w:t>3</w:t>
            </w:r>
            <w:r>
              <w:rPr>
                <w:rFonts w:hint="eastAsia" w:ascii="宋体" w:hAnsi="宋体"/>
              </w:rPr>
              <w:t>）没有进行公开的，得</w:t>
            </w:r>
            <w:r>
              <w:rPr>
                <w:rFonts w:ascii="宋体" w:hAnsi="宋体"/>
              </w:rPr>
              <w:t>0</w:t>
            </w:r>
            <w:r>
              <w:rPr>
                <w:rFonts w:hint="eastAsia" w:ascii="宋体" w:hAnsi="宋体"/>
              </w:rPr>
              <w:t>分。</w:t>
            </w:r>
          </w:p>
          <w:p>
            <w:pPr>
              <w:rPr>
                <w:rFonts w:ascii="宋体" w:hAnsi="宋体"/>
              </w:rPr>
            </w:pPr>
            <w:r>
              <w:rPr>
                <w:rFonts w:ascii="宋体" w:hAnsi="宋体"/>
              </w:rPr>
              <w:t xml:space="preserve">    3.</w:t>
            </w:r>
            <w:r>
              <w:rPr>
                <w:rFonts w:hint="eastAsia" w:ascii="宋体" w:hAnsi="宋体"/>
              </w:rPr>
              <w:t>涉密部门（单位）按规定不需要公开相关预决算信息的直接得分。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nil"/>
              <w:left w:val="nil"/>
              <w:bottom w:val="single" w:color="auto" w:sz="4" w:space="0"/>
              <w:right w:val="single" w:color="auto" w:sz="4" w:space="0"/>
            </w:tcBorders>
          </w:tcPr>
          <w:p>
            <w:pPr>
              <w:widowControl/>
              <w:spacing w:line="320" w:lineRule="exact"/>
              <w:ind w:firstLine="405"/>
              <w:rPr>
                <w:rFonts w:ascii="宋体" w:hAnsi="宋体" w:cs="宋体"/>
                <w:kern w:val="0"/>
              </w:rPr>
            </w:pPr>
          </w:p>
        </w:tc>
      </w:tr>
      <w:tr>
        <w:tblPrEx>
          <w:tblCellMar>
            <w:top w:w="0" w:type="dxa"/>
            <w:left w:w="108" w:type="dxa"/>
            <w:bottom w:w="0" w:type="dxa"/>
            <w:right w:w="108" w:type="dxa"/>
          </w:tblCellMar>
        </w:tblPrEx>
        <w:trPr>
          <w:trHeight w:val="1491"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4</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项目实施程序</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部门（单位）所有项目支出实施过程是否规范</w:t>
            </w:r>
            <w:r>
              <w:rPr>
                <w:rFonts w:ascii="宋体" w:cs="宋体"/>
                <w:kern w:val="0"/>
              </w:rPr>
              <w:t>,</w:t>
            </w:r>
            <w:r>
              <w:rPr>
                <w:rFonts w:hint="eastAsia" w:ascii="宋体" w:hAnsi="宋体" w:cs="宋体"/>
                <w:kern w:val="0"/>
              </w:rPr>
              <w:t>包括是否符合申报条件；申报、批复程序是否符合相关管理办法；项目招投标、调整、完成验收等是否履行相应手续等。</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项目的设立、调整按规定履行报批程序（</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项目招投标、建设、验收以及方案实施均严格执行相关制度规定（</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1527"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项目</w:t>
            </w:r>
          </w:p>
          <w:p>
            <w:pPr>
              <w:widowControl/>
              <w:spacing w:line="320" w:lineRule="exact"/>
              <w:jc w:val="left"/>
              <w:rPr>
                <w:rFonts w:ascii="宋体"/>
                <w:kern w:val="0"/>
              </w:rPr>
            </w:pPr>
            <w:r>
              <w:rPr>
                <w:rFonts w:hint="eastAsia" w:ascii="宋体" w:hAnsi="宋体" w:cs="宋体"/>
                <w:kern w:val="0"/>
              </w:rPr>
              <w:t>监管</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部门（单位）对所实施项目（包括部门主管的专项资金和专项经费分配给区级各部门实施的项目）的检查、监控、督促整改等管理情况。</w:t>
            </w:r>
          </w:p>
        </w:tc>
        <w:tc>
          <w:tcPr>
            <w:tcW w:w="5812" w:type="dxa"/>
            <w:tcBorders>
              <w:top w:val="nil"/>
              <w:left w:val="nil"/>
              <w:bottom w:val="single" w:color="auto" w:sz="4" w:space="0"/>
              <w:right w:val="single" w:color="auto" w:sz="4" w:space="0"/>
            </w:tcBorders>
            <w:vAlign w:val="center"/>
          </w:tcPr>
          <w:p>
            <w:pPr>
              <w:widowControl/>
              <w:spacing w:line="320" w:lineRule="exact"/>
              <w:ind w:firstLine="420"/>
              <w:rPr>
                <w:rFonts w:ascii="宋体"/>
                <w:kern w:val="0"/>
              </w:rPr>
            </w:pPr>
            <w:r>
              <w:rPr>
                <w:rFonts w:ascii="宋体" w:hAnsi="宋体" w:cs="宋体"/>
                <w:color w:val="auto"/>
                <w:kern w:val="0"/>
              </w:rPr>
              <w:t>1.</w:t>
            </w:r>
            <w:r>
              <w:rPr>
                <w:rFonts w:hint="eastAsia" w:ascii="宋体" w:hAnsi="宋体" w:cs="宋体"/>
                <w:color w:val="auto"/>
                <w:kern w:val="0"/>
              </w:rPr>
              <w:t>资金使用单位、基层资金管理单位建立有效资金管理和绩效运行监控机制，且执行情况良好（</w:t>
            </w:r>
            <w:r>
              <w:rPr>
                <w:rFonts w:ascii="宋体" w:hAnsi="宋体" w:cs="宋体"/>
                <w:color w:val="auto"/>
                <w:kern w:val="0"/>
              </w:rPr>
              <w:t>1</w:t>
            </w:r>
            <w:r>
              <w:rPr>
                <w:rFonts w:hint="eastAsia" w:ascii="宋体" w:hAnsi="宋体" w:cs="宋体"/>
                <w:color w:val="auto"/>
                <w:kern w:val="0"/>
              </w:rPr>
              <w:t>分）；</w:t>
            </w:r>
            <w:r>
              <w:rPr>
                <w:rFonts w:ascii="宋体"/>
                <w:color w:val="auto"/>
                <w:kern w:val="0"/>
              </w:rPr>
              <w:br w:type="textWrapping"/>
            </w:r>
            <w:r>
              <w:rPr>
                <w:rFonts w:ascii="宋体" w:hAnsi="宋体" w:cs="宋体"/>
                <w:color w:val="auto"/>
                <w:kern w:val="0"/>
              </w:rPr>
              <w:t xml:space="preserve">    2.</w:t>
            </w:r>
            <w:r>
              <w:rPr>
                <w:rFonts w:hint="eastAsia" w:ascii="宋体" w:hAnsi="宋体" w:cs="宋体"/>
                <w:color w:val="auto"/>
                <w:kern w:val="0"/>
              </w:rPr>
              <w:t>各主管部门按规定对主管的财政资金（含专项资金和专项经费）开展有效的检查、监控、督促整改（</w:t>
            </w:r>
            <w:r>
              <w:rPr>
                <w:rFonts w:ascii="宋体" w:hAnsi="宋体" w:cs="宋体"/>
                <w:color w:val="auto"/>
                <w:kern w:val="0"/>
              </w:rPr>
              <w:t>1</w:t>
            </w:r>
            <w:r>
              <w:rPr>
                <w:rFonts w:hint="eastAsia" w:ascii="宋体" w:hAnsi="宋体" w:cs="宋体"/>
                <w:color w:val="auto"/>
                <w:kern w:val="0"/>
              </w:rPr>
              <w:t>分），如无法提供开展检查监督相关证明材料，或被评价年度部门主管的专项资金绩效评价结果为差的，得</w:t>
            </w:r>
            <w:r>
              <w:rPr>
                <w:rFonts w:ascii="宋体" w:cs="宋体"/>
                <w:color w:val="auto"/>
                <w:kern w:val="0"/>
              </w:rPr>
              <w:t>0</w:t>
            </w:r>
            <w:r>
              <w:rPr>
                <w:rFonts w:hint="eastAsia" w:ascii="宋体" w:hAnsi="宋体" w:cs="宋体"/>
                <w:color w:val="auto"/>
                <w:kern w:val="0"/>
              </w:rPr>
              <w:t>分</w:t>
            </w:r>
            <w:r>
              <w:rPr>
                <w:rFonts w:hint="eastAsia" w:ascii="宋体" w:hAnsi="宋体" w:cs="宋体"/>
                <w:kern w:val="0"/>
              </w:rPr>
              <w:t>。</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nil"/>
              <w:left w:val="nil"/>
              <w:bottom w:val="single" w:color="auto" w:sz="4" w:space="0"/>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1369"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资产管理安全性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部门（单位）的资产是否保存完整、使用合规、配置合理、处置规范、收入及时足额上缴，用于反映和考核部门（单位）资产安全运行情况。</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 xml:space="preserve">    1.</w:t>
            </w:r>
            <w:r>
              <w:rPr>
                <w:rFonts w:hint="eastAsia" w:ascii="宋体" w:hAnsi="宋体" w:cs="宋体"/>
                <w:kern w:val="0"/>
              </w:rPr>
              <w:t>资产配置合理、保管完整，账实相符（</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资产处置规范，有偿使用及处置收入及时足额上缴（</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1314"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固定资产利用率</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部门（单位）实际在用固定资产总额与所有固定资产总额的比例，用以反映和考核部门（单位）固定资产使用效率程度。</w:t>
            </w:r>
          </w:p>
        </w:tc>
        <w:tc>
          <w:tcPr>
            <w:tcW w:w="5812" w:type="dxa"/>
            <w:tcBorders>
              <w:top w:val="nil"/>
              <w:left w:val="nil"/>
              <w:bottom w:val="single" w:color="auto" w:sz="4" w:space="0"/>
              <w:right w:val="single" w:color="auto" w:sz="4" w:space="0"/>
            </w:tcBorders>
            <w:vAlign w:val="center"/>
          </w:tcPr>
          <w:p>
            <w:pPr>
              <w:widowControl/>
              <w:spacing w:line="300" w:lineRule="exact"/>
              <w:ind w:firstLine="420" w:firstLineChars="200"/>
              <w:rPr>
                <w:rFonts w:ascii="宋体" w:hAnsi="宋体" w:cs="宋体"/>
                <w:kern w:val="0"/>
              </w:rPr>
            </w:pPr>
            <w:r>
              <w:rPr>
                <w:rFonts w:hint="eastAsia" w:ascii="宋体" w:hAnsi="宋体" w:cs="宋体"/>
                <w:kern w:val="0"/>
              </w:rPr>
              <w:t>固定资产利用率</w:t>
            </w:r>
            <w:r>
              <w:rPr>
                <w:rFonts w:ascii="宋体" w:hAnsi="宋体" w:cs="宋体"/>
                <w:kern w:val="0"/>
              </w:rPr>
              <w:t>=</w:t>
            </w:r>
            <w:r>
              <w:rPr>
                <w:rFonts w:hint="eastAsia" w:ascii="宋体" w:hAnsi="宋体" w:cs="宋体"/>
                <w:kern w:val="0"/>
              </w:rPr>
              <w:t>（实际在用固定资产总额</w:t>
            </w:r>
            <w:r>
              <w:rPr>
                <w:rFonts w:ascii="宋体" w:hAnsi="宋体" w:cs="宋体"/>
                <w:kern w:val="0"/>
              </w:rPr>
              <w:t>/</w:t>
            </w:r>
            <w:r>
              <w:rPr>
                <w:rFonts w:hint="eastAsia" w:ascii="宋体" w:hAnsi="宋体" w:cs="宋体"/>
                <w:kern w:val="0"/>
              </w:rPr>
              <w:t>所有固定资产总额）×</w:t>
            </w:r>
            <w:r>
              <w:rPr>
                <w:rFonts w:ascii="宋体" w:hAnsi="宋体" w:cs="宋体"/>
                <w:kern w:val="0"/>
              </w:rPr>
              <w:t xml:space="preserve">100%    </w:t>
            </w:r>
          </w:p>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固定资产利用率≥</w:t>
            </w:r>
            <w:r>
              <w:rPr>
                <w:rFonts w:ascii="宋体" w:hAnsi="宋体" w:cs="宋体"/>
                <w:kern w:val="0"/>
              </w:rPr>
              <w:t>90%</w:t>
            </w:r>
            <w:r>
              <w:rPr>
                <w:rFonts w:hint="eastAsia" w:ascii="宋体" w:hAnsi="宋体" w:cs="宋体"/>
                <w:kern w:val="0"/>
              </w:rPr>
              <w:t>的，得</w:t>
            </w:r>
            <w:r>
              <w:rPr>
                <w:rFonts w:ascii="宋体" w:hAnsi="宋体" w:cs="宋体"/>
                <w:kern w:val="0"/>
              </w:rPr>
              <w:t>1</w:t>
            </w:r>
            <w:r>
              <w:rPr>
                <w:rFonts w:hint="eastAsia" w:ascii="宋体" w:hAnsi="宋体" w:cs="宋体"/>
                <w:kern w:val="0"/>
              </w:rPr>
              <w:t>分；</w:t>
            </w:r>
            <w:r>
              <w:rPr>
                <w:rFonts w:ascii="宋体"/>
                <w:kern w:val="0"/>
              </w:rPr>
              <w:br w:type="textWrapping"/>
            </w:r>
            <w:r>
              <w:rPr>
                <w:rFonts w:ascii="宋体" w:hAnsi="宋体" w:cs="宋体"/>
                <w:kern w:val="0"/>
              </w:rPr>
              <w:t xml:space="preserve">    2.90%</w:t>
            </w:r>
            <w:r>
              <w:rPr>
                <w:rFonts w:hint="eastAsia" w:ascii="宋体" w:hAnsi="宋体" w:cs="宋体"/>
                <w:kern w:val="0"/>
              </w:rPr>
              <w:t>＞固定资产利用率≥</w:t>
            </w:r>
            <w:r>
              <w:rPr>
                <w:rFonts w:ascii="宋体" w:hAnsi="宋体" w:cs="宋体"/>
                <w:kern w:val="0"/>
              </w:rPr>
              <w:t>75%</w:t>
            </w:r>
            <w:r>
              <w:rPr>
                <w:rFonts w:hint="eastAsia" w:ascii="宋体" w:hAnsi="宋体" w:cs="宋体"/>
                <w:kern w:val="0"/>
              </w:rPr>
              <w:t>的，得</w:t>
            </w:r>
            <w:r>
              <w:rPr>
                <w:rFonts w:ascii="宋体" w:hAnsi="宋体" w:cs="宋体"/>
                <w:kern w:val="0"/>
              </w:rPr>
              <w:t>0.7</w:t>
            </w:r>
            <w:r>
              <w:rPr>
                <w:rFonts w:hint="eastAsia" w:ascii="宋体" w:hAnsi="宋体" w:cs="宋体"/>
                <w:kern w:val="0"/>
              </w:rPr>
              <w:t>分；</w:t>
            </w:r>
            <w:r>
              <w:rPr>
                <w:rFonts w:ascii="宋体"/>
                <w:kern w:val="0"/>
              </w:rPr>
              <w:br w:type="textWrapping"/>
            </w:r>
            <w:r>
              <w:rPr>
                <w:rFonts w:ascii="宋体" w:hAnsi="宋体" w:cs="宋体"/>
                <w:kern w:val="0"/>
              </w:rPr>
              <w:t xml:space="preserve">    3.75%</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ascii="宋体" w:hAnsi="宋体" w:cs="宋体"/>
                <w:kern w:val="0"/>
              </w:rPr>
              <w:t>4</w:t>
            </w:r>
            <w:r>
              <w:rPr>
                <w:rFonts w:hint="eastAsia" w:ascii="宋体" w:hAnsi="宋体" w:cs="宋体"/>
                <w:kern w:val="0"/>
              </w:rPr>
              <w:t>分；</w:t>
            </w:r>
            <w:r>
              <w:rPr>
                <w:rFonts w:ascii="宋体"/>
                <w:kern w:val="0"/>
              </w:rPr>
              <w:br w:type="textWrapping"/>
            </w:r>
            <w:r>
              <w:rPr>
                <w:rFonts w:ascii="宋体" w:hAnsi="宋体" w:cs="宋体"/>
                <w:kern w:val="0"/>
              </w:rPr>
              <w:t xml:space="preserve">    4.</w:t>
            </w:r>
            <w:r>
              <w:rPr>
                <w:rFonts w:hint="eastAsia" w:ascii="宋体" w:hAnsi="宋体" w:cs="宋体"/>
                <w:kern w:val="0"/>
              </w:rPr>
              <w:t>固定资产利用率＜</w:t>
            </w:r>
            <w:r>
              <w:rPr>
                <w:rFonts w:ascii="宋体" w:hAnsi="宋体" w:cs="宋体"/>
                <w:kern w:val="0"/>
              </w:rPr>
              <w:t>60%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2410" w:type="dxa"/>
            <w:tcBorders>
              <w:top w:val="nil"/>
              <w:left w:val="nil"/>
              <w:bottom w:val="single" w:color="auto" w:sz="4" w:space="0"/>
              <w:right w:val="single" w:color="auto" w:sz="4" w:space="0"/>
            </w:tcBorders>
          </w:tcPr>
          <w:p>
            <w:pPr>
              <w:widowControl/>
              <w:spacing w:line="30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300"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人员管理</w:t>
            </w:r>
          </w:p>
        </w:tc>
        <w:tc>
          <w:tcPr>
            <w:tcW w:w="567"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w:t>
            </w: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sz w:val="18"/>
                <w:szCs w:val="18"/>
              </w:rPr>
            </w:pPr>
            <w:r>
              <w:rPr>
                <w:rFonts w:hint="eastAsia" w:ascii="宋体" w:hAnsi="宋体" w:cs="宋体"/>
                <w:kern w:val="0"/>
              </w:rPr>
              <w:t>财政供养人员控制率</w:t>
            </w:r>
          </w:p>
        </w:tc>
        <w:tc>
          <w:tcPr>
            <w:tcW w:w="56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sz w:val="18"/>
                <w:szCs w:val="18"/>
              </w:rPr>
            </w:pPr>
            <w:r>
              <w:rPr>
                <w:rFonts w:ascii="宋体" w:hAnsi="宋体" w:cs="宋体"/>
                <w:kern w:val="0"/>
              </w:rPr>
              <w:t>1</w:t>
            </w:r>
          </w:p>
        </w:tc>
        <w:tc>
          <w:tcPr>
            <w:tcW w:w="2536"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sz w:val="18"/>
                <w:szCs w:val="18"/>
              </w:rPr>
            </w:pPr>
            <w:r>
              <w:rPr>
                <w:rFonts w:hint="eastAsia" w:ascii="宋体" w:hAnsi="宋体" w:cs="宋体"/>
                <w:kern w:val="0"/>
              </w:rPr>
              <w:t>部门（单位）本年度在编人数（含工勤人员）与核定编制数（含工勤人员）的比率。</w:t>
            </w:r>
          </w:p>
        </w:tc>
        <w:tc>
          <w:tcPr>
            <w:tcW w:w="5812"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sz w:val="18"/>
                <w:szCs w:val="18"/>
              </w:rPr>
            </w:pPr>
            <w:r>
              <w:rPr>
                <w:rFonts w:hint="eastAsia" w:ascii="宋体" w:hAnsi="宋体" w:cs="宋体"/>
                <w:kern w:val="0"/>
              </w:rPr>
              <w:t>财政供养人员控制率</w:t>
            </w:r>
            <w:r>
              <w:rPr>
                <w:rFonts w:ascii="宋体" w:hAnsi="宋体" w:cs="宋体"/>
                <w:kern w:val="0"/>
              </w:rPr>
              <w:t>=</w:t>
            </w:r>
            <w:r>
              <w:rPr>
                <w:rFonts w:hint="eastAsia" w:ascii="宋体" w:hAnsi="宋体" w:cs="宋体"/>
                <w:kern w:val="0"/>
              </w:rPr>
              <w:t>本年度在编人数（含工勤人员）</w:t>
            </w:r>
            <w:r>
              <w:rPr>
                <w:rFonts w:ascii="宋体" w:hAnsi="宋体" w:cs="宋体"/>
                <w:kern w:val="0"/>
              </w:rPr>
              <w:t>/</w:t>
            </w:r>
            <w:r>
              <w:rPr>
                <w:rFonts w:hint="eastAsia" w:ascii="宋体" w:hAnsi="宋体" w:cs="宋体"/>
                <w:kern w:val="0"/>
              </w:rPr>
              <w:t>核定编制数（含工勤人员）</w:t>
            </w:r>
          </w:p>
          <w:p>
            <w:pPr>
              <w:widowControl/>
              <w:spacing w:line="300" w:lineRule="exact"/>
              <w:rPr>
                <w:rFonts w:ascii="宋体"/>
                <w:kern w:val="0"/>
                <w:sz w:val="18"/>
                <w:szCs w:val="18"/>
              </w:rPr>
            </w:pPr>
            <w:r>
              <w:rPr>
                <w:rFonts w:ascii="宋体" w:hAnsi="宋体" w:cs="宋体"/>
                <w:kern w:val="0"/>
              </w:rPr>
              <w:t xml:space="preserve">   1.</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rPr>
                <w:rFonts w:ascii="宋体"/>
                <w:kern w:val="0"/>
                <w:sz w:val="18"/>
                <w:szCs w:val="18"/>
              </w:rPr>
            </w:pPr>
            <w:r>
              <w:rPr>
                <w:rFonts w:ascii="宋体" w:cs="宋体"/>
                <w:kern w:val="0"/>
              </w:rPr>
              <w:t xml:space="preserve">   2.</w:t>
            </w:r>
            <w:r>
              <w:rPr>
                <w:rFonts w:hint="eastAsia" w:ascii="宋体" w:hAnsi="宋体" w:cs="宋体"/>
                <w:kern w:val="0"/>
              </w:rPr>
              <w:t>财政供养人员控制率＞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2410" w:type="dxa"/>
            <w:tcBorders>
              <w:top w:val="single" w:color="auto" w:sz="4" w:space="0"/>
              <w:left w:val="nil"/>
              <w:bottom w:val="single" w:color="auto" w:sz="4" w:space="0"/>
              <w:right w:val="single" w:color="auto" w:sz="4" w:space="0"/>
            </w:tcBorders>
          </w:tcPr>
          <w:p>
            <w:pPr>
              <w:widowControl/>
              <w:spacing w:line="30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267"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编外人员控制率</w:t>
            </w:r>
          </w:p>
        </w:tc>
        <w:tc>
          <w:tcPr>
            <w:tcW w:w="56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1</w:t>
            </w:r>
          </w:p>
        </w:tc>
        <w:tc>
          <w:tcPr>
            <w:tcW w:w="2536" w:type="dxa"/>
            <w:tcBorders>
              <w:top w:val="single" w:color="auto" w:sz="4" w:space="0"/>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部门（单位）本年度使用劳务派遣人员数量（含直接聘用的编外人员）与在职人员总数（在编</w:t>
            </w:r>
            <w:r>
              <w:rPr>
                <w:rFonts w:ascii="宋体" w:hAnsi="宋体" w:cs="宋体"/>
                <w:kern w:val="0"/>
              </w:rPr>
              <w:t>+</w:t>
            </w:r>
            <w:r>
              <w:rPr>
                <w:rFonts w:hint="eastAsia" w:ascii="宋体" w:hAnsi="宋体" w:cs="宋体"/>
                <w:kern w:val="0"/>
              </w:rPr>
              <w:t>编外）的比率。</w:t>
            </w:r>
          </w:p>
        </w:tc>
        <w:tc>
          <w:tcPr>
            <w:tcW w:w="5812" w:type="dxa"/>
            <w:tcBorders>
              <w:top w:val="single" w:color="auto" w:sz="4" w:space="0"/>
              <w:left w:val="nil"/>
              <w:bottom w:val="single" w:color="auto" w:sz="4" w:space="0"/>
              <w:right w:val="single" w:color="auto" w:sz="4" w:space="0"/>
            </w:tcBorders>
            <w:vAlign w:val="center"/>
          </w:tcPr>
          <w:p>
            <w:pPr>
              <w:widowControl/>
              <w:spacing w:line="300" w:lineRule="exact"/>
              <w:ind w:firstLine="420" w:firstLineChars="200"/>
              <w:rPr>
                <w:rFonts w:ascii="宋体"/>
                <w:kern w:val="0"/>
              </w:rPr>
            </w:pPr>
            <w:r>
              <w:rPr>
                <w:rFonts w:ascii="宋体" w:hAnsi="宋体" w:cs="宋体"/>
                <w:kern w:val="0"/>
              </w:rPr>
              <w:t>1.</w:t>
            </w:r>
            <w:r>
              <w:rPr>
                <w:rFonts w:hint="eastAsia" w:ascii="宋体" w:hAnsi="宋体" w:cs="宋体"/>
                <w:kern w:val="0"/>
              </w:rPr>
              <w:t>比率＜</w:t>
            </w:r>
            <w:r>
              <w:rPr>
                <w:rFonts w:ascii="宋体" w:hAnsi="宋体" w:cs="宋体"/>
                <w:kern w:val="0"/>
              </w:rPr>
              <w:t>5%</w:t>
            </w:r>
            <w:r>
              <w:rPr>
                <w:rFonts w:hint="eastAsia" w:ascii="宋体" w:hAnsi="宋体" w:cs="宋体"/>
                <w:kern w:val="0"/>
              </w:rPr>
              <w:t>的，得</w:t>
            </w:r>
            <w:r>
              <w:rPr>
                <w:rFonts w:ascii="宋体" w:hAnsi="宋体" w:cs="宋体"/>
                <w:kern w:val="0"/>
              </w:rPr>
              <w:t>1</w:t>
            </w:r>
            <w:r>
              <w:rPr>
                <w:rFonts w:hint="eastAsia" w:ascii="宋体" w:hAnsi="宋体" w:cs="宋体"/>
                <w:kern w:val="0"/>
              </w:rPr>
              <w:t>分；</w:t>
            </w:r>
          </w:p>
          <w:p>
            <w:pPr>
              <w:widowControl/>
              <w:spacing w:line="300" w:lineRule="exact"/>
              <w:ind w:firstLine="420" w:firstLineChars="200"/>
              <w:rPr>
                <w:rFonts w:ascii="宋体"/>
                <w:kern w:val="0"/>
              </w:rPr>
            </w:pPr>
            <w:r>
              <w:rPr>
                <w:rFonts w:ascii="宋体" w:hAnsi="宋体" w:cs="宋体"/>
                <w:kern w:val="0"/>
              </w:rPr>
              <w:t>2.5%</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ascii="宋体" w:cs="宋体"/>
                <w:kern w:val="0"/>
              </w:rPr>
              <w:t>.</w:t>
            </w:r>
            <w:r>
              <w:rPr>
                <w:rFonts w:hint="eastAsia" w:ascii="宋体" w:hAnsi="宋体" w:cs="宋体"/>
                <w:kern w:val="0"/>
              </w:rPr>
              <w:t>比率＞</w:t>
            </w:r>
            <w:r>
              <w:rPr>
                <w:rFonts w:ascii="宋体" w:hAnsi="宋体" w:cs="宋体"/>
                <w:kern w:val="0"/>
              </w:rPr>
              <w:t>10%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0</w:t>
            </w:r>
          </w:p>
        </w:tc>
        <w:tc>
          <w:tcPr>
            <w:tcW w:w="2410"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宋体" w:hAnsi="宋体" w:cs="宋体"/>
                <w:kern w:val="0"/>
              </w:rPr>
            </w:pPr>
            <w:r>
              <w:rPr>
                <w:rFonts w:hint="eastAsia" w:ascii="宋体" w:hAnsi="宋体" w:cs="宋体"/>
                <w:kern w:val="0"/>
                <w:sz w:val="20"/>
                <w:szCs w:val="22"/>
              </w:rPr>
              <w:t>比率</w:t>
            </w:r>
            <w:r>
              <w:rPr>
                <w:rFonts w:hint="eastAsia" w:ascii="宋体" w:hAnsi="宋体" w:cs="宋体"/>
                <w:kern w:val="0"/>
                <w:sz w:val="20"/>
                <w:szCs w:val="22"/>
                <w:lang w:val="en-US" w:eastAsia="zh-CN"/>
              </w:rPr>
              <w:t>33%，</w:t>
            </w:r>
            <w:r>
              <w:rPr>
                <w:rFonts w:hint="eastAsia" w:ascii="宋体" w:hAnsi="宋体" w:cs="宋体"/>
                <w:kern w:val="0"/>
                <w:sz w:val="20"/>
                <w:szCs w:val="22"/>
              </w:rPr>
              <w:t>在编人员1</w:t>
            </w:r>
            <w:r>
              <w:rPr>
                <w:rFonts w:hint="eastAsia" w:ascii="宋体" w:hAnsi="宋体" w:cs="宋体"/>
                <w:kern w:val="0"/>
                <w:sz w:val="20"/>
                <w:szCs w:val="22"/>
                <w:lang w:val="en-US" w:eastAsia="zh-CN"/>
              </w:rPr>
              <w:t>6</w:t>
            </w:r>
            <w:r>
              <w:rPr>
                <w:rFonts w:hint="eastAsia" w:ascii="宋体" w:hAnsi="宋体" w:cs="宋体"/>
                <w:kern w:val="0"/>
                <w:sz w:val="20"/>
                <w:szCs w:val="22"/>
              </w:rPr>
              <w:t>人（公务员</w:t>
            </w:r>
            <w:r>
              <w:rPr>
                <w:rFonts w:hint="eastAsia" w:ascii="宋体" w:hAnsi="宋体" w:cs="宋体"/>
                <w:kern w:val="0"/>
                <w:sz w:val="20"/>
                <w:szCs w:val="22"/>
                <w:lang w:val="en-US" w:eastAsia="zh-CN"/>
              </w:rPr>
              <w:t>10</w:t>
            </w:r>
            <w:r>
              <w:rPr>
                <w:rFonts w:hint="eastAsia" w:ascii="宋体" w:hAnsi="宋体" w:cs="宋体"/>
                <w:kern w:val="0"/>
                <w:sz w:val="20"/>
                <w:szCs w:val="22"/>
              </w:rPr>
              <w:t>人，老工勤2人，雇员4人），编外人员</w:t>
            </w:r>
            <w:r>
              <w:rPr>
                <w:rFonts w:hint="eastAsia" w:ascii="宋体" w:hAnsi="宋体" w:cs="宋体"/>
                <w:kern w:val="0"/>
                <w:sz w:val="20"/>
                <w:szCs w:val="22"/>
                <w:lang w:val="en-US" w:eastAsia="zh-CN"/>
              </w:rPr>
              <w:t>8</w:t>
            </w:r>
            <w:r>
              <w:rPr>
                <w:rFonts w:hint="eastAsia" w:ascii="宋体" w:hAnsi="宋体" w:cs="宋体"/>
                <w:kern w:val="0"/>
                <w:sz w:val="20"/>
                <w:szCs w:val="22"/>
              </w:rPr>
              <w:t>人（聘员</w:t>
            </w:r>
            <w:r>
              <w:rPr>
                <w:rFonts w:hint="eastAsia" w:ascii="宋体" w:hAnsi="宋体" w:cs="宋体"/>
                <w:kern w:val="0"/>
                <w:sz w:val="20"/>
                <w:szCs w:val="22"/>
                <w:lang w:val="en-US" w:eastAsia="zh-CN"/>
              </w:rPr>
              <w:t>5</w:t>
            </w:r>
            <w:r>
              <w:rPr>
                <w:rFonts w:hint="eastAsia" w:ascii="宋体" w:hAnsi="宋体" w:cs="宋体"/>
                <w:kern w:val="0"/>
                <w:sz w:val="20"/>
                <w:szCs w:val="22"/>
              </w:rPr>
              <w:t>人，园区组织员</w:t>
            </w:r>
            <w:r>
              <w:rPr>
                <w:rFonts w:hint="eastAsia" w:ascii="宋体" w:hAnsi="宋体" w:cs="宋体"/>
                <w:kern w:val="0"/>
                <w:sz w:val="20"/>
                <w:szCs w:val="22"/>
                <w:lang w:val="en-US" w:eastAsia="zh-CN"/>
              </w:rPr>
              <w:t>2</w:t>
            </w:r>
            <w:r>
              <w:rPr>
                <w:rFonts w:hint="eastAsia" w:ascii="宋体" w:hAnsi="宋体" w:cs="宋体"/>
                <w:kern w:val="0"/>
                <w:sz w:val="20"/>
                <w:szCs w:val="22"/>
              </w:rPr>
              <w:t>人，购买服务项目1人）</w:t>
            </w:r>
          </w:p>
        </w:tc>
      </w:tr>
      <w:tr>
        <w:tblPrEx>
          <w:tblCellMar>
            <w:top w:w="0" w:type="dxa"/>
            <w:left w:w="108" w:type="dxa"/>
            <w:bottom w:w="0" w:type="dxa"/>
            <w:right w:w="108" w:type="dxa"/>
          </w:tblCellMar>
        </w:tblPrEx>
        <w:trPr>
          <w:trHeight w:val="1521"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制度管理</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851" w:type="dxa"/>
            <w:tcBorders>
              <w:top w:val="nil"/>
              <w:left w:val="nil"/>
              <w:bottom w:val="single" w:color="auto" w:sz="4" w:space="0"/>
              <w:right w:val="single" w:color="auto" w:sz="4" w:space="0"/>
            </w:tcBorders>
            <w:vAlign w:val="center"/>
          </w:tcPr>
          <w:p>
            <w:pPr>
              <w:widowControl/>
              <w:spacing w:line="300" w:lineRule="exact"/>
              <w:jc w:val="left"/>
              <w:rPr>
                <w:rFonts w:ascii="宋体"/>
                <w:kern w:val="0"/>
              </w:rPr>
            </w:pPr>
            <w:r>
              <w:rPr>
                <w:rFonts w:hint="eastAsia" w:ascii="宋体" w:hAnsi="宋体" w:cs="宋体"/>
                <w:kern w:val="0"/>
              </w:rPr>
              <w:t>管理制度健全性</w:t>
            </w:r>
          </w:p>
        </w:tc>
        <w:tc>
          <w:tcPr>
            <w:tcW w:w="567" w:type="dxa"/>
            <w:tcBorders>
              <w:top w:val="nil"/>
              <w:left w:val="nil"/>
              <w:bottom w:val="single" w:color="auto" w:sz="4" w:space="0"/>
              <w:right w:val="single" w:color="auto" w:sz="4" w:space="0"/>
            </w:tcBorders>
            <w:vAlign w:val="center"/>
          </w:tcPr>
          <w:p>
            <w:pPr>
              <w:widowControl/>
              <w:spacing w:line="300" w:lineRule="exact"/>
              <w:jc w:val="center"/>
              <w:rPr>
                <w:rFonts w:ascii="宋体"/>
                <w:kern w:val="0"/>
              </w:rPr>
            </w:pPr>
            <w:r>
              <w:rPr>
                <w:rFonts w:ascii="宋体" w:hAnsi="宋体" w:cs="宋体"/>
                <w:kern w:val="0"/>
              </w:rPr>
              <w:t>3</w:t>
            </w:r>
          </w:p>
        </w:tc>
        <w:tc>
          <w:tcPr>
            <w:tcW w:w="2536" w:type="dxa"/>
            <w:tcBorders>
              <w:top w:val="nil"/>
              <w:left w:val="nil"/>
              <w:bottom w:val="single" w:color="auto" w:sz="4" w:space="0"/>
              <w:right w:val="single" w:color="auto" w:sz="4" w:space="0"/>
            </w:tcBorders>
            <w:vAlign w:val="center"/>
          </w:tcPr>
          <w:p>
            <w:pPr>
              <w:widowControl/>
              <w:spacing w:line="300" w:lineRule="exact"/>
              <w:rPr>
                <w:rFonts w:ascii="宋体"/>
                <w:kern w:val="0"/>
              </w:rPr>
            </w:pPr>
            <w:r>
              <w:rPr>
                <w:rFonts w:hint="eastAsia" w:ascii="宋体" w:hAnsi="宋体" w:cs="宋体"/>
                <w:kern w:val="0"/>
              </w:rPr>
              <w:t>部门（单位）制定了相应的预算资金、财务管理和预算绩效管理等制度并严格执行，用以反映部门（单位）的管理制度对其完成主要职责和促进事业发展的保障情况。</w:t>
            </w:r>
          </w:p>
        </w:tc>
        <w:tc>
          <w:tcPr>
            <w:tcW w:w="5812" w:type="dxa"/>
            <w:tcBorders>
              <w:top w:val="nil"/>
              <w:left w:val="nil"/>
              <w:bottom w:val="single" w:color="auto" w:sz="4" w:space="0"/>
              <w:right w:val="single" w:color="auto" w:sz="4" w:space="0"/>
            </w:tcBorders>
          </w:tcPr>
          <w:p>
            <w:pPr>
              <w:widowControl/>
              <w:spacing w:line="300" w:lineRule="exact"/>
              <w:jc w:val="left"/>
              <w:rPr>
                <w:rFonts w:ascii="宋体"/>
                <w:kern w:val="0"/>
              </w:rPr>
            </w:pPr>
            <w:r>
              <w:rPr>
                <w:rFonts w:ascii="宋体" w:hAnsi="宋体" w:cs="宋体"/>
                <w:kern w:val="0"/>
              </w:rPr>
              <w:t xml:space="preserve">    1.</w:t>
            </w:r>
            <w:r>
              <w:rPr>
                <w:rFonts w:hint="eastAsia" w:ascii="宋体" w:hAnsi="宋体" w:cs="宋体"/>
                <w:kern w:val="0"/>
              </w:rPr>
              <w:t>部门制定了财政资金管理、财务管理、内部控制等制度（</w:t>
            </w:r>
            <w:r>
              <w:rPr>
                <w:rFonts w:ascii="宋体" w:hAnsi="宋体" w:cs="宋体"/>
                <w:kern w:val="0"/>
              </w:rPr>
              <w:t>0.5</w:t>
            </w:r>
            <w:r>
              <w:rPr>
                <w:rFonts w:hint="eastAsia" w:ascii="宋体" w:hAnsi="宋体" w:cs="宋体"/>
                <w:kern w:val="0"/>
              </w:rPr>
              <w:t>分）；</w:t>
            </w:r>
            <w:r>
              <w:rPr>
                <w:rFonts w:ascii="宋体"/>
                <w:kern w:val="0"/>
              </w:rPr>
              <w:br w:type="textWrapping"/>
            </w:r>
            <w:r>
              <w:rPr>
                <w:rFonts w:ascii="宋体" w:hAnsi="宋体" w:cs="宋体"/>
                <w:kern w:val="0"/>
              </w:rPr>
              <w:t xml:space="preserve">    2.</w:t>
            </w:r>
            <w:r>
              <w:rPr>
                <w:rFonts w:hint="eastAsia" w:ascii="宋体" w:hAnsi="宋体" w:cs="宋体"/>
                <w:kern w:val="0"/>
              </w:rPr>
              <w:t>上述财政资金管理、财务管理、内部控制等制度得到有效执行（</w:t>
            </w:r>
            <w:r>
              <w:rPr>
                <w:rFonts w:ascii="宋体" w:hAnsi="宋体" w:cs="宋体"/>
                <w:kern w:val="0"/>
              </w:rPr>
              <w:t>1.5</w:t>
            </w:r>
            <w:r>
              <w:rPr>
                <w:rFonts w:hint="eastAsia" w:ascii="宋体" w:hAnsi="宋体" w:cs="宋体"/>
                <w:kern w:val="0"/>
              </w:rPr>
              <w:t>分）；</w:t>
            </w:r>
            <w:r>
              <w:rPr>
                <w:rFonts w:ascii="宋体"/>
                <w:kern w:val="0"/>
              </w:rPr>
              <w:br w:type="textWrapping"/>
            </w:r>
            <w:r>
              <w:rPr>
                <w:rFonts w:ascii="宋体" w:hAnsi="宋体" w:cs="宋体"/>
                <w:kern w:val="0"/>
              </w:rPr>
              <w:t xml:space="preserve">    3.</w:t>
            </w:r>
            <w:r>
              <w:rPr>
                <w:rFonts w:hint="eastAsia" w:ascii="宋体" w:hAnsi="宋体" w:cs="宋体"/>
                <w:kern w:val="0"/>
              </w:rPr>
              <w:t>部门按照预算和绩效管理一体化的要求制定本部门全面实施预算绩效管理的制度或工作方案，组织指导本级及下属单位开展事前评估、绩效目标编报、绩效监控、绩效评价和评价结果应用等工作（</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00" w:lineRule="exact"/>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nil"/>
              <w:left w:val="nil"/>
              <w:bottom w:val="single" w:color="auto" w:sz="4" w:space="0"/>
              <w:right w:val="single" w:color="auto" w:sz="4" w:space="0"/>
            </w:tcBorders>
          </w:tcPr>
          <w:p>
            <w:pPr>
              <w:widowControl/>
              <w:spacing w:line="300" w:lineRule="exact"/>
              <w:jc w:val="left"/>
              <w:rPr>
                <w:rFonts w:ascii="宋体" w:hAnsi="宋体" w:cs="宋体"/>
                <w:kern w:val="0"/>
              </w:rPr>
            </w:pPr>
          </w:p>
        </w:tc>
      </w:tr>
      <w:tr>
        <w:tblPrEx>
          <w:tblCellMar>
            <w:top w:w="0" w:type="dxa"/>
            <w:left w:w="108" w:type="dxa"/>
            <w:bottom w:w="0" w:type="dxa"/>
            <w:right w:w="108" w:type="dxa"/>
          </w:tblCellMar>
        </w:tblPrEx>
        <w:trPr>
          <w:trHeight w:val="360" w:hRule="atLeast"/>
        </w:trPr>
        <w:tc>
          <w:tcPr>
            <w:tcW w:w="57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部门绩效</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ascii="宋体" w:hAnsi="宋体" w:cs="宋体"/>
                <w:kern w:val="0"/>
              </w:rPr>
              <w:t>55</w:t>
            </w:r>
          </w:p>
        </w:tc>
        <w:tc>
          <w:tcPr>
            <w:tcW w:w="567" w:type="dxa"/>
            <w:tcBorders>
              <w:top w:val="nil"/>
              <w:left w:val="nil"/>
              <w:bottom w:val="single" w:color="auto" w:sz="4" w:space="0"/>
              <w:right w:val="single" w:color="auto" w:sz="4" w:space="0"/>
            </w:tcBorders>
            <w:vAlign w:val="center"/>
          </w:tcPr>
          <w:p>
            <w:pPr>
              <w:widowControl/>
              <w:spacing w:line="320" w:lineRule="exact"/>
              <w:jc w:val="left"/>
              <w:rPr>
                <w:rFonts w:ascii="宋体"/>
                <w:color w:val="auto"/>
                <w:kern w:val="0"/>
              </w:rPr>
            </w:pPr>
            <w:r>
              <w:rPr>
                <w:rFonts w:hint="eastAsia" w:ascii="宋体" w:hAnsi="宋体" w:cs="宋体"/>
                <w:color w:val="auto"/>
                <w:kern w:val="0"/>
              </w:rPr>
              <w:t>经济性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公用经费控制率</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部门（单位）本年度实际支出的公用经费总额与预算安排的公用经费总额的比率，用以反映和考核部门（单位）对机构运转成本的实际控制程度。</w:t>
            </w:r>
          </w:p>
        </w:tc>
        <w:tc>
          <w:tcPr>
            <w:tcW w:w="581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firstLine="420"/>
              <w:textAlignment w:val="auto"/>
              <w:rPr>
                <w:rFonts w:ascii="宋体"/>
                <w:kern w:val="0"/>
              </w:rPr>
            </w:pPr>
            <w:r>
              <w:rPr>
                <w:rFonts w:ascii="宋体" w:hAnsi="宋体" w:cs="宋体"/>
                <w:kern w:val="0"/>
              </w:rPr>
              <w:t>1.</w:t>
            </w:r>
            <w:r>
              <w:rPr>
                <w:rFonts w:hint="eastAsia" w:ascii="宋体" w:hAnsi="宋体" w:cs="宋体"/>
                <w:kern w:val="0"/>
              </w:rPr>
              <w:t>“三公”经费控制率</w:t>
            </w:r>
            <w:r>
              <w:rPr>
                <w:rFonts w:ascii="宋体" w:hAnsi="宋体" w:cs="宋体"/>
                <w:kern w:val="0"/>
              </w:rPr>
              <w:t>=</w:t>
            </w:r>
            <w:r>
              <w:rPr>
                <w:rFonts w:hint="eastAsia" w:ascii="宋体" w:hAnsi="宋体" w:cs="宋体"/>
                <w:kern w:val="0"/>
              </w:rPr>
              <w:t>“三公”经费实际支出数</w:t>
            </w:r>
            <w:r>
              <w:rPr>
                <w:rFonts w:ascii="宋体" w:hAnsi="宋体" w:cs="宋体"/>
                <w:kern w:val="0"/>
              </w:rPr>
              <w:t>/</w:t>
            </w:r>
            <w:r>
              <w:rPr>
                <w:rFonts w:hint="eastAsia" w:ascii="宋体" w:hAnsi="宋体" w:cs="宋体"/>
                <w:kern w:val="0"/>
              </w:rPr>
              <w:t>“三公”经费预算安排数×</w:t>
            </w:r>
            <w:r>
              <w:rPr>
                <w:rFonts w:ascii="宋体" w:hAnsi="宋体" w:cs="宋体"/>
                <w:kern w:val="0"/>
              </w:rPr>
              <w:t>100%</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rPr>
                <w:rFonts w:ascii="宋体"/>
                <w:kern w:val="0"/>
              </w:rPr>
            </w:pPr>
            <w:r>
              <w:rPr>
                <w:rFonts w:hint="eastAsia" w:ascii="宋体" w:cs="宋体"/>
                <w:kern w:val="0"/>
              </w:rPr>
              <w:t>（</w:t>
            </w:r>
            <w:r>
              <w:rPr>
                <w:rFonts w:ascii="宋体" w:cs="宋体"/>
                <w:kern w:val="0"/>
              </w:rPr>
              <w:t>1</w:t>
            </w:r>
            <w:r>
              <w:rPr>
                <w:rFonts w:hint="eastAsia" w:ascii="宋体" w:cs="宋体"/>
                <w:kern w:val="0"/>
              </w:rPr>
              <w:t>）</w:t>
            </w:r>
            <w:r>
              <w:rPr>
                <w:rFonts w:hint="eastAsia" w:ascii="宋体" w:hAnsi="宋体" w:cs="宋体"/>
                <w:kern w:val="0"/>
              </w:rPr>
              <w:t>“三公”经费控制率＜</w:t>
            </w:r>
            <w:r>
              <w:rPr>
                <w:rFonts w:ascii="宋体" w:hAnsi="宋体" w:cs="宋体"/>
                <w:kern w:val="0"/>
              </w:rPr>
              <w:t>90%</w:t>
            </w:r>
            <w:r>
              <w:rPr>
                <w:rFonts w:hint="eastAsia" w:ascii="宋体" w:hAnsi="宋体" w:cs="宋体"/>
                <w:kern w:val="0"/>
              </w:rPr>
              <w:t>的，得</w:t>
            </w:r>
            <w:r>
              <w:rPr>
                <w:rFonts w:ascii="宋体" w:hAnsi="宋体" w:cs="宋体"/>
                <w:kern w:val="0"/>
              </w:rPr>
              <w:t>3</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90%</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rPr>
                <w:rFonts w:ascii="宋体" w:hAnsi="宋体" w:cs="宋体"/>
                <w:kern w:val="0"/>
              </w:rPr>
            </w:pPr>
            <w:r>
              <w:rPr>
                <w:rFonts w:hint="eastAsia" w:ascii="宋体" w:cs="宋体"/>
                <w:kern w:val="0"/>
              </w:rPr>
              <w:t>（</w:t>
            </w:r>
            <w:r>
              <w:rPr>
                <w:rFonts w:ascii="宋体" w:cs="宋体"/>
                <w:kern w:val="0"/>
              </w:rPr>
              <w:t>3</w:t>
            </w:r>
            <w:r>
              <w:rPr>
                <w:rFonts w:hint="eastAsia" w:ascii="宋体" w:cs="宋体"/>
                <w:kern w:val="0"/>
              </w:rPr>
              <w:t>）</w:t>
            </w:r>
            <w:r>
              <w:rPr>
                <w:rFonts w:hint="eastAsia" w:ascii="宋体" w:hAnsi="宋体" w:cs="宋体"/>
                <w:kern w:val="0"/>
              </w:rPr>
              <w:t>“三公”经费控制率＞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r>
              <w:rPr>
                <w:rFonts w:ascii="宋体"/>
                <w:kern w:val="0"/>
              </w:rPr>
              <w:br w:type="textWrapping"/>
            </w:r>
            <w:r>
              <w:rPr>
                <w:rFonts w:ascii="宋体" w:hAnsi="宋体" w:cs="宋体"/>
                <w:kern w:val="0"/>
              </w:rPr>
              <w:t xml:space="preserve">    2. </w:t>
            </w:r>
            <w:r>
              <w:rPr>
                <w:rFonts w:hint="eastAsia" w:ascii="宋体" w:hAnsi="宋体" w:cs="宋体"/>
                <w:kern w:val="0"/>
              </w:rPr>
              <w:t>日常公用经费控制率</w:t>
            </w:r>
            <w:r>
              <w:rPr>
                <w:rFonts w:ascii="宋体" w:hAnsi="宋体" w:cs="宋体"/>
                <w:kern w:val="0"/>
              </w:rPr>
              <w:t>=</w:t>
            </w:r>
            <w:r>
              <w:rPr>
                <w:rFonts w:hint="eastAsia" w:ascii="宋体" w:hAnsi="宋体" w:cs="宋体"/>
                <w:kern w:val="0"/>
              </w:rPr>
              <w:t>日常公用经费决算数</w:t>
            </w:r>
            <w:r>
              <w:rPr>
                <w:rFonts w:ascii="宋体" w:hAnsi="宋体" w:cs="宋体"/>
                <w:kern w:val="0"/>
              </w:rPr>
              <w:t>/</w:t>
            </w:r>
            <w:r>
              <w:rPr>
                <w:rFonts w:hint="eastAsia" w:ascii="宋体" w:hAnsi="宋体" w:cs="宋体"/>
                <w:kern w:val="0"/>
              </w:rPr>
              <w:t>日常公用经费调整预算数×</w:t>
            </w:r>
            <w:r>
              <w:rPr>
                <w:rFonts w:ascii="宋体" w:hAnsi="宋体" w:cs="宋体"/>
                <w:kern w:val="0"/>
              </w:rPr>
              <w:t>100%</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rPr>
                <w:rFonts w:ascii="宋体"/>
                <w:kern w:val="0"/>
              </w:rPr>
            </w:pPr>
            <w:r>
              <w:rPr>
                <w:rFonts w:hint="eastAsia" w:ascii="宋体" w:cs="宋体"/>
                <w:kern w:val="0"/>
              </w:rPr>
              <w:t>（</w:t>
            </w:r>
            <w:r>
              <w:rPr>
                <w:rFonts w:ascii="宋体" w:cs="宋体"/>
                <w:kern w:val="0"/>
              </w:rPr>
              <w:t>1</w:t>
            </w:r>
            <w:r>
              <w:rPr>
                <w:rFonts w:hint="eastAsia" w:ascii="宋体" w:cs="宋体"/>
                <w:kern w:val="0"/>
              </w:rPr>
              <w:t>）</w:t>
            </w:r>
            <w:r>
              <w:rPr>
                <w:rFonts w:hint="eastAsia" w:ascii="宋体" w:hAnsi="宋体" w:cs="宋体"/>
                <w:kern w:val="0"/>
              </w:rPr>
              <w:t>日常公用经费控制率＜</w:t>
            </w:r>
            <w:r>
              <w:rPr>
                <w:rFonts w:ascii="宋体" w:hAnsi="宋体" w:cs="宋体"/>
                <w:kern w:val="0"/>
              </w:rPr>
              <w:t>90%</w:t>
            </w:r>
            <w:r>
              <w:rPr>
                <w:rFonts w:hint="eastAsia" w:ascii="宋体" w:hAnsi="宋体" w:cs="宋体"/>
                <w:kern w:val="0"/>
              </w:rPr>
              <w:t>的，得</w:t>
            </w:r>
            <w:r>
              <w:rPr>
                <w:rFonts w:ascii="宋体" w:hAnsi="宋体" w:cs="宋体"/>
                <w:kern w:val="0"/>
              </w:rPr>
              <w:t>3</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w:t>
            </w:r>
            <w:r>
              <w:rPr>
                <w:rFonts w:ascii="宋体" w:hAnsi="宋体" w:cs="宋体"/>
                <w:kern w:val="0"/>
              </w:rPr>
              <w:t>90%</w:t>
            </w:r>
            <w:r>
              <w:rPr>
                <w:rFonts w:hint="eastAsia" w:ascii="宋体" w:hAnsi="宋体" w:cs="宋体"/>
                <w:kern w:val="0"/>
              </w:rPr>
              <w:t>≤日常公用经费控制率≤</w:t>
            </w:r>
            <w:r>
              <w:rPr>
                <w:rFonts w:ascii="宋体" w:hAnsi="宋体" w:cs="宋体"/>
                <w:kern w:val="0"/>
              </w:rPr>
              <w:t>100%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rPr>
                <w:rFonts w:ascii="宋体"/>
                <w:kern w:val="0"/>
              </w:rPr>
            </w:pPr>
            <w:r>
              <w:rPr>
                <w:rFonts w:hint="eastAsia" w:ascii="宋体" w:cs="宋体"/>
                <w:kern w:val="0"/>
              </w:rPr>
              <w:t>（</w:t>
            </w:r>
            <w:r>
              <w:rPr>
                <w:rFonts w:ascii="宋体" w:cs="宋体"/>
                <w:kern w:val="0"/>
              </w:rPr>
              <w:t>3</w:t>
            </w:r>
            <w:r>
              <w:rPr>
                <w:rFonts w:hint="eastAsia" w:ascii="宋体" w:cs="宋体"/>
                <w:kern w:val="0"/>
              </w:rPr>
              <w:t>）</w:t>
            </w:r>
            <w:r>
              <w:rPr>
                <w:rFonts w:hint="eastAsia" w:ascii="宋体" w:hAnsi="宋体" w:cs="宋体"/>
                <w:kern w:val="0"/>
              </w:rPr>
              <w:t>日常公用经费控制率＞</w:t>
            </w:r>
            <w:r>
              <w:rPr>
                <w:rFonts w:ascii="宋体" w:hAnsi="宋体" w:cs="宋体"/>
                <w:kern w:val="0"/>
              </w:rPr>
              <w:t>100%</w:t>
            </w:r>
            <w:r>
              <w:rPr>
                <w:rFonts w:hint="eastAsia" w:ascii="宋体" w:hAnsi="宋体" w:cs="宋体"/>
                <w:kern w:val="0"/>
              </w:rPr>
              <w:t>的，得</w:t>
            </w:r>
            <w:r>
              <w:rPr>
                <w:rFonts w:ascii="宋体" w:cs="宋体"/>
                <w:kern w:val="0"/>
              </w:rPr>
              <w:t>0</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5</w:t>
            </w:r>
          </w:p>
        </w:tc>
        <w:tc>
          <w:tcPr>
            <w:tcW w:w="2410" w:type="dxa"/>
            <w:tcBorders>
              <w:top w:val="nil"/>
              <w:left w:val="nil"/>
              <w:bottom w:val="single" w:color="auto" w:sz="4" w:space="0"/>
              <w:right w:val="single" w:color="auto" w:sz="4" w:space="0"/>
            </w:tcBorders>
          </w:tcPr>
          <w:p>
            <w:pPr>
              <w:widowControl/>
              <w:spacing w:line="320" w:lineRule="exact"/>
              <w:ind w:firstLine="420"/>
              <w:rPr>
                <w:rFonts w:hint="default" w:ascii="宋体" w:hAnsi="宋体" w:eastAsia="宋体" w:cs="宋体"/>
                <w:kern w:val="0"/>
                <w:lang w:val="en-US" w:eastAsia="zh-CN"/>
              </w:rPr>
            </w:pPr>
            <w:r>
              <w:rPr>
                <w:rFonts w:hint="eastAsia" w:ascii="宋体" w:hAnsi="宋体" w:cs="宋体"/>
                <w:kern w:val="0"/>
              </w:rPr>
              <w:t>日常公用经费控制率</w:t>
            </w:r>
            <w:r>
              <w:rPr>
                <w:rFonts w:hint="eastAsia" w:ascii="宋体" w:hAnsi="宋体" w:cs="宋体"/>
                <w:kern w:val="0"/>
                <w:lang w:val="en-US" w:eastAsia="zh-CN"/>
              </w:rPr>
              <w:t>99%</w:t>
            </w:r>
          </w:p>
        </w:tc>
      </w:tr>
      <w:tr>
        <w:tblPrEx>
          <w:tblCellMar>
            <w:top w:w="0" w:type="dxa"/>
            <w:left w:w="108" w:type="dxa"/>
            <w:bottom w:w="0" w:type="dxa"/>
            <w:right w:w="108" w:type="dxa"/>
          </w:tblCellMar>
        </w:tblPrEx>
        <w:trPr>
          <w:trHeight w:val="2767"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宋体"/>
                <w:kern w:val="0"/>
              </w:rPr>
            </w:pPr>
            <w:r>
              <w:rPr>
                <w:rFonts w:hint="eastAsia" w:ascii="宋体" w:hAnsi="宋体" w:cs="宋体"/>
                <w:kern w:val="0"/>
              </w:rPr>
              <w:t>效率性</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kern w:val="0"/>
              </w:rPr>
            </w:pPr>
            <w:r>
              <w:rPr>
                <w:rFonts w:ascii="宋体" w:hAnsi="宋体" w:cs="宋体"/>
                <w:kern w:val="0"/>
              </w:rPr>
              <w:t>20</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预算执行率</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部门（单位）部门预算实际支付进度和既定支付进度的匹配情况，反映和考核部门（单位）预算执行的及时性和均衡性。</w:t>
            </w:r>
          </w:p>
        </w:tc>
        <w:tc>
          <w:tcPr>
            <w:tcW w:w="5812"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ascii="宋体" w:hAnsi="宋体" w:cs="宋体"/>
                <w:kern w:val="0"/>
              </w:rPr>
              <w:t>1.</w:t>
            </w:r>
            <w:r>
              <w:rPr>
                <w:rFonts w:hint="eastAsia" w:ascii="宋体" w:hAnsi="宋体" w:cs="宋体"/>
                <w:kern w:val="0"/>
              </w:rPr>
              <w:t>一季度预算执行率得分</w:t>
            </w:r>
            <w:r>
              <w:rPr>
                <w:rFonts w:ascii="宋体" w:hAnsi="宋体" w:cs="宋体"/>
                <w:kern w:val="0"/>
              </w:rPr>
              <w:t>=</w:t>
            </w:r>
            <w:r>
              <w:rPr>
                <w:rFonts w:hint="eastAsia" w:ascii="宋体" w:hAnsi="宋体" w:cs="宋体"/>
                <w:kern w:val="0"/>
              </w:rPr>
              <w:t>（一季度部门预算支出进度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25%</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2.</w:t>
            </w:r>
            <w:r>
              <w:rPr>
                <w:rFonts w:hint="eastAsia" w:ascii="宋体" w:hAnsi="宋体" w:cs="宋体"/>
                <w:kern w:val="0"/>
              </w:rPr>
              <w:t>二季度预算执行率得分</w:t>
            </w:r>
            <w:r>
              <w:rPr>
                <w:rFonts w:ascii="宋体" w:hAnsi="宋体" w:cs="宋体"/>
                <w:kern w:val="0"/>
              </w:rPr>
              <w:t>=</w:t>
            </w:r>
            <w:r>
              <w:rPr>
                <w:rFonts w:hint="eastAsia" w:ascii="宋体" w:hAnsi="宋体" w:cs="宋体"/>
                <w:kern w:val="0"/>
              </w:rPr>
              <w:t>（二季度部门预算支出进度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50%</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3.</w:t>
            </w:r>
            <w:r>
              <w:rPr>
                <w:rFonts w:hint="eastAsia" w:ascii="宋体" w:hAnsi="宋体" w:cs="宋体"/>
                <w:kern w:val="0"/>
              </w:rPr>
              <w:t>三季度预算执行率得分</w:t>
            </w:r>
            <w:r>
              <w:rPr>
                <w:rFonts w:ascii="宋体" w:hAnsi="宋体" w:cs="宋体"/>
                <w:kern w:val="0"/>
              </w:rPr>
              <w:t>=</w:t>
            </w:r>
            <w:r>
              <w:rPr>
                <w:rFonts w:hint="eastAsia" w:ascii="宋体" w:hAnsi="宋体" w:cs="宋体"/>
                <w:kern w:val="0"/>
              </w:rPr>
              <w:t>（三季度部门预算支出进度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75%</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4.</w:t>
            </w:r>
            <w:r>
              <w:rPr>
                <w:rFonts w:hint="eastAsia" w:ascii="宋体" w:hAnsi="宋体" w:cs="宋体"/>
                <w:kern w:val="0"/>
              </w:rPr>
              <w:t>四季度预算执行率得分</w:t>
            </w:r>
            <w:r>
              <w:rPr>
                <w:rFonts w:ascii="宋体" w:hAnsi="宋体" w:cs="宋体"/>
                <w:kern w:val="0"/>
              </w:rPr>
              <w:t>=</w:t>
            </w:r>
            <w:r>
              <w:rPr>
                <w:rFonts w:hint="eastAsia" w:ascii="宋体" w:hAnsi="宋体" w:cs="宋体"/>
                <w:kern w:val="0"/>
              </w:rPr>
              <w:t>（四季度部门预算支出进度</w:t>
            </w:r>
            <w:r>
              <w:rPr>
                <w:rFonts w:ascii="宋体" w:hAnsi="宋体" w:cs="宋体"/>
                <w:kern w:val="0"/>
              </w:rPr>
              <w:t>/</w:t>
            </w:r>
            <w:r>
              <w:rPr>
                <w:rFonts w:hint="eastAsia" w:ascii="宋体" w:hAnsi="宋体" w:cs="宋体"/>
                <w:kern w:val="0"/>
              </w:rPr>
              <w:t>序时进度</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分，最高得1分。</w:t>
            </w:r>
          </w:p>
          <w:p>
            <w:pPr>
              <w:widowControl/>
              <w:spacing w:line="320" w:lineRule="exact"/>
              <w:rPr>
                <w:rFonts w:ascii="宋体"/>
                <w:kern w:val="0"/>
              </w:rPr>
            </w:pPr>
            <w:r>
              <w:rPr>
                <w:rFonts w:ascii="宋体" w:hAnsi="宋体" w:cs="宋体"/>
                <w:kern w:val="0"/>
              </w:rPr>
              <w:t>5.</w:t>
            </w:r>
            <w:r>
              <w:rPr>
                <w:rFonts w:hint="eastAsia" w:ascii="宋体" w:hAnsi="宋体" w:cs="宋体"/>
                <w:kern w:val="0"/>
              </w:rPr>
              <w:t>全年平均支出进度得分</w:t>
            </w:r>
            <w:r>
              <w:rPr>
                <w:rFonts w:ascii="宋体" w:hAnsi="宋体" w:cs="宋体"/>
                <w:kern w:val="0"/>
              </w:rPr>
              <w:t>=</w:t>
            </w:r>
            <w:r>
              <w:rPr>
                <w:rFonts w:hint="eastAsia" w:ascii="宋体" w:hAnsi="宋体" w:cs="宋体"/>
                <w:kern w:val="0"/>
              </w:rPr>
              <w:t>全年平均执行率×</w:t>
            </w:r>
            <w:r>
              <w:rPr>
                <w:rFonts w:ascii="宋体" w:hAnsi="宋体" w:cs="宋体"/>
                <w:kern w:val="0"/>
              </w:rPr>
              <w:t>2</w:t>
            </w:r>
            <w:r>
              <w:rPr>
                <w:rFonts w:hint="eastAsia" w:ascii="宋体" w:hAnsi="宋体" w:cs="宋体"/>
                <w:kern w:val="0"/>
              </w:rPr>
              <w:t>分，最高得</w:t>
            </w:r>
            <w:r>
              <w:rPr>
                <w:rFonts w:ascii="宋体" w:hAnsi="宋体" w:cs="宋体"/>
                <w:kern w:val="0"/>
              </w:rPr>
              <w:t>2</w:t>
            </w:r>
            <w:r>
              <w:rPr>
                <w:rFonts w:hint="eastAsia" w:ascii="宋体" w:hAnsi="宋体" w:cs="宋体"/>
                <w:kern w:val="0"/>
              </w:rPr>
              <w:t>分。</w:t>
            </w:r>
          </w:p>
          <w:p>
            <w:pPr>
              <w:widowControl/>
              <w:spacing w:line="320" w:lineRule="exact"/>
              <w:ind w:firstLine="405"/>
              <w:rPr>
                <w:rFonts w:ascii="宋体" w:hAnsi="宋体" w:cs="宋体"/>
                <w:kern w:val="0"/>
              </w:rPr>
            </w:pPr>
            <w:r>
              <w:rPr>
                <w:rFonts w:hint="eastAsia" w:ascii="宋体" w:hAnsi="宋体" w:cs="宋体"/>
                <w:kern w:val="0"/>
              </w:rPr>
              <w:t>其中：全年平均执行率</w:t>
            </w:r>
            <w:r>
              <w:rPr>
                <w:rFonts w:ascii="宋体" w:hAnsi="宋体" w:cs="宋体"/>
                <w:kern w:val="0"/>
              </w:rPr>
              <w:t>=</w:t>
            </w:r>
            <w:r>
              <w:rPr>
                <w:rFonts w:hint="eastAsia" w:ascii="宋体" w:hAnsi="宋体" w:cs="宋体"/>
                <w:kern w:val="0"/>
              </w:rPr>
              <w:t>∑（每个季度的执行率）÷</w:t>
            </w:r>
            <w:r>
              <w:rPr>
                <w:rFonts w:ascii="宋体" w:hAnsi="宋体" w:cs="宋体"/>
                <w:kern w:val="0"/>
              </w:rPr>
              <w:t>4</w:t>
            </w:r>
          </w:p>
          <w:p>
            <w:pPr>
              <w:widowControl/>
              <w:spacing w:line="320" w:lineRule="exact"/>
              <w:rPr>
                <w:rFonts w:ascii="宋体"/>
                <w:kern w:val="0"/>
              </w:rPr>
            </w:pPr>
            <w:r>
              <w:rPr>
                <w:rFonts w:hint="eastAsia" w:ascii="宋体" w:hAnsi="宋体" w:cs="宋体"/>
                <w:kern w:val="0"/>
              </w:rPr>
              <w:t>季度支出进度</w:t>
            </w:r>
            <w:r>
              <w:rPr>
                <w:rFonts w:ascii="宋体" w:hAnsi="宋体" w:cs="宋体"/>
                <w:kern w:val="0"/>
              </w:rPr>
              <w:t>=</w:t>
            </w:r>
            <w:r>
              <w:rPr>
                <w:rFonts w:hint="eastAsia" w:ascii="宋体" w:hAnsi="宋体" w:cs="宋体"/>
                <w:kern w:val="0"/>
              </w:rPr>
              <w:t>季度末月份累计支出进度（即</w:t>
            </w:r>
            <w:r>
              <w:rPr>
                <w:rFonts w:ascii="宋体" w:hAnsi="宋体" w:cs="宋体"/>
                <w:kern w:val="0"/>
              </w:rPr>
              <w:t>3</w:t>
            </w:r>
            <w:r>
              <w:rPr>
                <w:rFonts w:hint="eastAsia" w:ascii="宋体" w:hAnsi="宋体" w:cs="宋体"/>
                <w:kern w:val="0"/>
              </w:rPr>
              <w:t>、</w:t>
            </w:r>
            <w:r>
              <w:rPr>
                <w:rFonts w:ascii="宋体" w:hAnsi="宋体" w:cs="宋体"/>
                <w:kern w:val="0"/>
              </w:rPr>
              <w:t>6</w:t>
            </w:r>
            <w:r>
              <w:rPr>
                <w:rFonts w:hint="eastAsia" w:ascii="宋体" w:hAnsi="宋体" w:cs="宋体"/>
                <w:kern w:val="0"/>
              </w:rPr>
              <w:t>、</w:t>
            </w:r>
            <w:r>
              <w:rPr>
                <w:rFonts w:ascii="宋体" w:hAnsi="宋体" w:cs="宋体"/>
                <w:kern w:val="0"/>
              </w:rPr>
              <w:t>9</w:t>
            </w:r>
            <w:r>
              <w:rPr>
                <w:rFonts w:hint="eastAsia" w:ascii="宋体" w:hAnsi="宋体" w:cs="宋体"/>
                <w:kern w:val="0"/>
              </w:rPr>
              <w:t>、</w:t>
            </w:r>
            <w:r>
              <w:rPr>
                <w:rFonts w:ascii="宋体" w:hAnsi="宋体" w:cs="宋体"/>
                <w:kern w:val="0"/>
              </w:rPr>
              <w:t>12</w:t>
            </w:r>
            <w:r>
              <w:rPr>
                <w:rFonts w:hint="eastAsia" w:ascii="宋体" w:hAnsi="宋体" w:cs="宋体"/>
                <w:kern w:val="0"/>
              </w:rPr>
              <w:t>月月末支出进度）</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6</w:t>
            </w:r>
          </w:p>
        </w:tc>
        <w:tc>
          <w:tcPr>
            <w:tcW w:w="2410" w:type="dxa"/>
            <w:tcBorders>
              <w:top w:val="nil"/>
              <w:left w:val="nil"/>
              <w:bottom w:val="single" w:color="auto" w:sz="4" w:space="0"/>
              <w:right w:val="single" w:color="auto" w:sz="4" w:space="0"/>
            </w:tcBorders>
          </w:tcPr>
          <w:p>
            <w:pPr>
              <w:widowControl/>
              <w:spacing w:line="320" w:lineRule="exact"/>
              <w:rPr>
                <w:rFonts w:ascii="宋体" w:hAnsi="宋体" w:cs="宋体"/>
                <w:kern w:val="0"/>
              </w:rPr>
            </w:pPr>
          </w:p>
        </w:tc>
      </w:tr>
      <w:tr>
        <w:tblPrEx>
          <w:tblCellMar>
            <w:top w:w="0" w:type="dxa"/>
            <w:left w:w="108" w:type="dxa"/>
            <w:bottom w:w="0" w:type="dxa"/>
            <w:right w:w="108" w:type="dxa"/>
          </w:tblCellMar>
        </w:tblPrEx>
        <w:trPr>
          <w:trHeight w:val="2130"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重点工作完成情况</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8</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color w:val="000000"/>
                <w:kern w:val="0"/>
              </w:rPr>
            </w:pPr>
            <w:r>
              <w:rPr>
                <w:rFonts w:hint="eastAsia" w:ascii="宋体" w:hAnsi="宋体" w:cs="宋体"/>
                <w:color w:val="000000"/>
                <w:kern w:val="0"/>
              </w:rPr>
              <w:t>部门（单位）完成党委、政府、人大和上级部门下达或交办的重要事项或工作的完成情况，反映部门对重点工作的办理落实程度。</w:t>
            </w:r>
          </w:p>
        </w:tc>
        <w:tc>
          <w:tcPr>
            <w:tcW w:w="581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rPr>
            </w:pPr>
            <w:r>
              <w:rPr>
                <w:rFonts w:hint="eastAsia" w:ascii="宋体" w:hAnsi="宋体" w:cs="宋体"/>
                <w:kern w:val="0"/>
              </w:rPr>
              <w:t>重点工作是指中央和省、市相关部门、区委区政府、区人大交办或下达的工作任务。全部按期保质保量完成得</w:t>
            </w:r>
            <w:r>
              <w:rPr>
                <w:rFonts w:ascii="宋体" w:hAnsi="宋体" w:cs="宋体"/>
                <w:kern w:val="0"/>
              </w:rPr>
              <w:t>8</w:t>
            </w:r>
            <w:r>
              <w:rPr>
                <w:rFonts w:hint="eastAsia" w:ascii="宋体" w:hAnsi="宋体" w:cs="宋体"/>
                <w:kern w:val="0"/>
              </w:rPr>
              <w:t>分；一项重点工作没有完成扣</w:t>
            </w:r>
            <w:r>
              <w:rPr>
                <w:rFonts w:ascii="宋体" w:hAnsi="宋体" w:cs="宋体"/>
                <w:kern w:val="0"/>
              </w:rPr>
              <w:t>4</w:t>
            </w:r>
            <w:r>
              <w:rPr>
                <w:rFonts w:hint="eastAsia" w:ascii="宋体" w:hAnsi="宋体" w:cs="宋体"/>
                <w:kern w:val="0"/>
              </w:rPr>
              <w:t>分，扣完为止。</w:t>
            </w:r>
          </w:p>
          <w:p>
            <w:pPr>
              <w:widowControl/>
              <w:spacing w:line="320" w:lineRule="exact"/>
              <w:rPr>
                <w:rFonts w:ascii="宋体"/>
                <w:kern w:val="0"/>
              </w:rPr>
            </w:pPr>
            <w:r>
              <w:rPr>
                <w:rFonts w:hint="eastAsia" w:ascii="宋体" w:hAnsi="宋体" w:cs="宋体"/>
                <w:kern w:val="0"/>
              </w:rPr>
              <w:t>注：重点工作完成情况可以参考区委区政府督查部门或其他权威部门的统计数据（如有）。</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8</w:t>
            </w:r>
          </w:p>
        </w:tc>
        <w:tc>
          <w:tcPr>
            <w:tcW w:w="2410" w:type="dxa"/>
            <w:tcBorders>
              <w:top w:val="nil"/>
              <w:left w:val="nil"/>
              <w:bottom w:val="single" w:color="auto" w:sz="4" w:space="0"/>
              <w:right w:val="single" w:color="auto" w:sz="4" w:space="0"/>
            </w:tcBorders>
          </w:tcPr>
          <w:p>
            <w:pPr>
              <w:widowControl/>
              <w:spacing w:line="32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1368"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sz w:val="18"/>
                <w:szCs w:val="18"/>
              </w:rPr>
            </w:pPr>
            <w:r>
              <w:rPr>
                <w:rFonts w:hint="eastAsia" w:ascii="宋体" w:hAnsi="宋体" w:cs="宋体"/>
                <w:kern w:val="0"/>
              </w:rPr>
              <w:t>项目完成及时性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sz w:val="18"/>
                <w:szCs w:val="18"/>
              </w:rPr>
            </w:pPr>
            <w:r>
              <w:rPr>
                <w:rFonts w:hint="eastAsia" w:ascii="宋体" w:hAnsi="宋体" w:cs="宋体"/>
                <w:kern w:val="0"/>
              </w:rPr>
              <w:t>部门（单位）项目完成情况与预期时间对比的情况。</w:t>
            </w:r>
          </w:p>
        </w:tc>
        <w:tc>
          <w:tcPr>
            <w:tcW w:w="5812" w:type="dxa"/>
            <w:tcBorders>
              <w:top w:val="nil"/>
              <w:left w:val="nil"/>
              <w:bottom w:val="single" w:color="auto" w:sz="4" w:space="0"/>
              <w:right w:val="single" w:color="auto" w:sz="4" w:space="0"/>
            </w:tcBorders>
            <w:vAlign w:val="center"/>
          </w:tcPr>
          <w:p>
            <w:pPr>
              <w:widowControl/>
              <w:spacing w:line="320" w:lineRule="exact"/>
              <w:ind w:firstLine="420" w:firstLineChars="200"/>
              <w:rPr>
                <w:rFonts w:ascii="宋体"/>
                <w:kern w:val="0"/>
                <w:sz w:val="18"/>
                <w:szCs w:val="18"/>
              </w:rPr>
            </w:pPr>
            <w:r>
              <w:rPr>
                <w:rFonts w:ascii="宋体" w:hAnsi="宋体" w:cs="宋体"/>
                <w:kern w:val="0"/>
              </w:rPr>
              <w:t>1.</w:t>
            </w:r>
            <w:r>
              <w:rPr>
                <w:rFonts w:hint="eastAsia" w:ascii="宋体" w:hAnsi="宋体" w:cs="宋体"/>
                <w:kern w:val="0"/>
              </w:rPr>
              <w:t>所有部门预算安排的项目均按计划时间完成（</w:t>
            </w:r>
            <w:r>
              <w:rPr>
                <w:rFonts w:ascii="宋体" w:hAnsi="宋体" w:cs="宋体"/>
                <w:kern w:val="0"/>
              </w:rPr>
              <w:t>6</w:t>
            </w:r>
            <w:r>
              <w:rPr>
                <w:rFonts w:hint="eastAsia" w:ascii="宋体" w:hAnsi="宋体" w:cs="宋体"/>
                <w:kern w:val="0"/>
              </w:rPr>
              <w:t>分）；</w:t>
            </w:r>
          </w:p>
          <w:p>
            <w:pPr>
              <w:widowControl/>
              <w:spacing w:line="320" w:lineRule="exact"/>
              <w:ind w:firstLine="420" w:firstLineChars="200"/>
              <w:rPr>
                <w:rFonts w:ascii="宋体"/>
                <w:kern w:val="0"/>
                <w:sz w:val="18"/>
                <w:szCs w:val="18"/>
              </w:rPr>
            </w:pPr>
            <w:r>
              <w:rPr>
                <w:rFonts w:ascii="宋体" w:hAnsi="宋体" w:cs="宋体"/>
                <w:kern w:val="0"/>
              </w:rPr>
              <w:t>2.</w:t>
            </w:r>
            <w:r>
              <w:rPr>
                <w:rFonts w:hint="eastAsia" w:ascii="宋体" w:hAnsi="宋体" w:cs="宋体"/>
                <w:kern w:val="0"/>
              </w:rPr>
              <w:t>部分项目未按计划时间完成的，本指标得分</w:t>
            </w:r>
            <w:r>
              <w:rPr>
                <w:rFonts w:ascii="宋体" w:hAnsi="宋体" w:cs="宋体"/>
                <w:kern w:val="0"/>
              </w:rPr>
              <w:t>=</w:t>
            </w:r>
            <w:r>
              <w:rPr>
                <w:rFonts w:hint="eastAsia" w:ascii="宋体" w:hAnsi="宋体" w:cs="宋体"/>
                <w:kern w:val="0"/>
              </w:rPr>
              <w:t>已完成项目数</w:t>
            </w:r>
            <w:r>
              <w:rPr>
                <w:rFonts w:ascii="宋体" w:hAnsi="宋体" w:cs="宋体"/>
                <w:kern w:val="0"/>
              </w:rPr>
              <w:t>/</w:t>
            </w:r>
            <w:r>
              <w:rPr>
                <w:rFonts w:hint="eastAsia" w:ascii="宋体" w:hAnsi="宋体" w:cs="宋体"/>
                <w:kern w:val="0"/>
              </w:rPr>
              <w:t>计划完成项目总数×</w:t>
            </w:r>
            <w:r>
              <w:rPr>
                <w:rFonts w:ascii="宋体" w:hAnsi="宋体" w:cs="宋体"/>
                <w:kern w:val="0"/>
              </w:rPr>
              <w:t>6</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6</w:t>
            </w:r>
          </w:p>
        </w:tc>
        <w:tc>
          <w:tcPr>
            <w:tcW w:w="2410" w:type="dxa"/>
            <w:tcBorders>
              <w:top w:val="nil"/>
              <w:left w:val="nil"/>
              <w:bottom w:val="single" w:color="auto" w:sz="4" w:space="0"/>
              <w:right w:val="single" w:color="auto" w:sz="4" w:space="0"/>
            </w:tcBorders>
          </w:tcPr>
          <w:p>
            <w:pPr>
              <w:widowControl/>
              <w:spacing w:line="320" w:lineRule="exact"/>
              <w:ind w:firstLine="420" w:firstLineChars="200"/>
              <w:rPr>
                <w:rFonts w:ascii="宋体" w:hAnsi="宋体" w:cs="宋体"/>
                <w:kern w:val="0"/>
              </w:rPr>
            </w:pPr>
          </w:p>
        </w:tc>
      </w:tr>
      <w:tr>
        <w:tblPrEx>
          <w:tblCellMar>
            <w:top w:w="0" w:type="dxa"/>
            <w:left w:w="108" w:type="dxa"/>
            <w:bottom w:w="0" w:type="dxa"/>
            <w:right w:w="108" w:type="dxa"/>
          </w:tblCellMar>
        </w:tblPrEx>
        <w:trPr>
          <w:trHeight w:val="2008"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效果性</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社会、经济、生态效益及可持续影响等</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20</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部门（单位）履行职责、完成各项重大政策和项目的效果，以及对经济发展、社会发展、生态环境所带来的直接或间接影响。</w:t>
            </w:r>
          </w:p>
        </w:tc>
        <w:tc>
          <w:tcPr>
            <w:tcW w:w="5812" w:type="dxa"/>
            <w:tcBorders>
              <w:top w:val="nil"/>
              <w:left w:val="nil"/>
              <w:bottom w:val="single" w:color="auto" w:sz="4" w:space="0"/>
              <w:right w:val="single" w:color="auto" w:sz="4" w:space="0"/>
            </w:tcBorders>
            <w:vAlign w:val="center"/>
          </w:tcPr>
          <w:p>
            <w:pPr>
              <w:widowControl/>
              <w:spacing w:line="320" w:lineRule="exact"/>
              <w:ind w:firstLine="405"/>
              <w:rPr>
                <w:rFonts w:ascii="宋体"/>
                <w:kern w:val="0"/>
              </w:rPr>
            </w:pPr>
            <w:r>
              <w:rPr>
                <w:rFonts w:hint="eastAsia" w:ascii="宋体" w:hAnsi="宋体" w:cs="宋体"/>
                <w:kern w:val="0"/>
              </w:rPr>
              <w:t>根据部门（单位）职责，结合部门整体支出绩效目标，合理设置个性化绩效指标，通过绩效指标完成情况与目标值对比分析进行评分，未实现绩效目标的酌情扣分。</w:t>
            </w:r>
          </w:p>
          <w:p>
            <w:pPr>
              <w:widowControl/>
              <w:spacing w:line="320" w:lineRule="exact"/>
              <w:ind w:firstLine="405"/>
              <w:rPr>
                <w:rFonts w:ascii="宋体"/>
                <w:kern w:val="0"/>
              </w:rPr>
            </w:pPr>
            <w:r>
              <w:rPr>
                <w:rFonts w:hint="eastAsia" w:ascii="宋体" w:hAnsi="宋体" w:cs="宋体"/>
                <w:kern w:val="0"/>
              </w:rPr>
              <w:t>根据部门（部门）履职内容和性质，从社会效益、经济效益、生态效益、可持续影响等方面，至少选择三个方面对工作实效和效益进行评价。</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default" w:ascii="宋体" w:hAnsi="宋体" w:eastAsia="宋体" w:cs="宋体"/>
                <w:kern w:val="0"/>
                <w:lang w:val="en-US" w:eastAsia="zh-CN"/>
              </w:rPr>
            </w:pPr>
            <w:r>
              <w:rPr>
                <w:rFonts w:hint="eastAsia" w:ascii="宋体" w:hAnsi="宋体" w:cs="宋体"/>
                <w:kern w:val="0"/>
                <w:lang w:val="en-US" w:eastAsia="zh-CN"/>
              </w:rPr>
              <w:t>20</w:t>
            </w:r>
          </w:p>
        </w:tc>
        <w:tc>
          <w:tcPr>
            <w:tcW w:w="2410" w:type="dxa"/>
            <w:tcBorders>
              <w:top w:val="nil"/>
              <w:left w:val="nil"/>
              <w:bottom w:val="single" w:color="auto" w:sz="4" w:space="0"/>
              <w:right w:val="single" w:color="auto" w:sz="4" w:space="0"/>
            </w:tcBorders>
          </w:tcPr>
          <w:p>
            <w:pPr>
              <w:widowControl/>
              <w:spacing w:line="320" w:lineRule="exact"/>
              <w:ind w:firstLine="405"/>
              <w:rPr>
                <w:rFonts w:ascii="宋体" w:hAnsi="宋体" w:cs="宋体"/>
                <w:kern w:val="0"/>
              </w:rPr>
            </w:pPr>
          </w:p>
        </w:tc>
      </w:tr>
      <w:tr>
        <w:tblPrEx>
          <w:tblCellMar>
            <w:top w:w="0" w:type="dxa"/>
            <w:left w:w="108" w:type="dxa"/>
            <w:bottom w:w="0" w:type="dxa"/>
            <w:right w:w="108" w:type="dxa"/>
          </w:tblCellMar>
        </w:tblPrEx>
        <w:trPr>
          <w:trHeight w:val="1214" w:hRule="atLeast"/>
        </w:trPr>
        <w:tc>
          <w:tcPr>
            <w:tcW w:w="57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公平性</w:t>
            </w:r>
          </w:p>
        </w:tc>
        <w:tc>
          <w:tcPr>
            <w:tcW w:w="567"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9</w:t>
            </w:r>
          </w:p>
        </w:tc>
        <w:tc>
          <w:tcPr>
            <w:tcW w:w="851" w:type="dxa"/>
            <w:tcBorders>
              <w:top w:val="nil"/>
              <w:left w:val="nil"/>
              <w:bottom w:val="single" w:color="auto" w:sz="4" w:space="0"/>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群众信访办理情况</w:t>
            </w:r>
          </w:p>
        </w:tc>
        <w:tc>
          <w:tcPr>
            <w:tcW w:w="567" w:type="dxa"/>
            <w:tcBorders>
              <w:top w:val="nil"/>
              <w:left w:val="nil"/>
              <w:bottom w:val="single" w:color="auto" w:sz="4" w:space="0"/>
              <w:right w:val="single" w:color="auto" w:sz="4" w:space="0"/>
            </w:tcBorders>
            <w:vAlign w:val="center"/>
          </w:tcPr>
          <w:p>
            <w:pPr>
              <w:widowControl/>
              <w:spacing w:line="320" w:lineRule="exact"/>
              <w:jc w:val="center"/>
              <w:rPr>
                <w:rFonts w:ascii="宋体"/>
                <w:kern w:val="0"/>
              </w:rPr>
            </w:pPr>
            <w:r>
              <w:rPr>
                <w:rFonts w:ascii="宋体" w:hAnsi="宋体" w:cs="宋体"/>
                <w:kern w:val="0"/>
              </w:rPr>
              <w:t>3</w:t>
            </w:r>
          </w:p>
        </w:tc>
        <w:tc>
          <w:tcPr>
            <w:tcW w:w="2536" w:type="dxa"/>
            <w:tcBorders>
              <w:top w:val="nil"/>
              <w:left w:val="nil"/>
              <w:bottom w:val="single" w:color="auto" w:sz="4" w:space="0"/>
              <w:right w:val="single" w:color="auto" w:sz="4" w:space="0"/>
            </w:tcBorders>
            <w:vAlign w:val="center"/>
          </w:tcPr>
          <w:p>
            <w:pPr>
              <w:widowControl/>
              <w:spacing w:line="320" w:lineRule="exact"/>
              <w:rPr>
                <w:rFonts w:ascii="宋体"/>
                <w:kern w:val="0"/>
              </w:rPr>
            </w:pPr>
            <w:r>
              <w:rPr>
                <w:rFonts w:hint="eastAsia" w:ascii="宋体" w:hAnsi="宋体" w:cs="宋体"/>
                <w:kern w:val="0"/>
              </w:rPr>
              <w:t>部门（单位）对群众信访意见的完成情况及及时性，反映部门（单位）对服务群众的重视程度。</w:t>
            </w:r>
          </w:p>
        </w:tc>
        <w:tc>
          <w:tcPr>
            <w:tcW w:w="5812" w:type="dxa"/>
            <w:tcBorders>
              <w:top w:val="nil"/>
              <w:left w:val="nil"/>
              <w:bottom w:val="single" w:color="auto" w:sz="4" w:space="0"/>
              <w:right w:val="single" w:color="auto" w:sz="4" w:space="0"/>
            </w:tcBorders>
            <w:vAlign w:val="center"/>
          </w:tcPr>
          <w:p>
            <w:pPr>
              <w:widowControl/>
              <w:spacing w:line="320" w:lineRule="exact"/>
              <w:ind w:firstLine="315" w:firstLineChars="150"/>
              <w:rPr>
                <w:rFonts w:ascii="宋体"/>
                <w:kern w:val="0"/>
              </w:rPr>
            </w:pPr>
            <w:r>
              <w:rPr>
                <w:rFonts w:ascii="宋体" w:hAnsi="宋体" w:cs="宋体"/>
                <w:kern w:val="0"/>
              </w:rPr>
              <w:t>1.</w:t>
            </w:r>
            <w:r>
              <w:rPr>
                <w:rFonts w:hint="eastAsia" w:ascii="宋体" w:hAnsi="宋体" w:cs="宋体"/>
                <w:kern w:val="0"/>
              </w:rPr>
              <w:t>建立了便利的群众意见反映渠道和群众意见办理回复机制（</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2.</w:t>
            </w:r>
            <w:r>
              <w:rPr>
                <w:rFonts w:hint="eastAsia" w:ascii="宋体" w:hAnsi="宋体" w:cs="宋体"/>
                <w:kern w:val="0"/>
              </w:rPr>
              <w:t>当年度群众信访办理回复率达</w:t>
            </w:r>
            <w:r>
              <w:rPr>
                <w:rFonts w:ascii="宋体" w:hAnsi="宋体" w:cs="宋体"/>
                <w:kern w:val="0"/>
              </w:rPr>
              <w:t>100%</w:t>
            </w:r>
            <w:r>
              <w:rPr>
                <w:rFonts w:hint="eastAsia" w:ascii="宋体" w:hAnsi="宋体" w:cs="宋体"/>
                <w:kern w:val="0"/>
              </w:rPr>
              <w:t>（</w:t>
            </w:r>
            <w:r>
              <w:rPr>
                <w:rFonts w:ascii="宋体" w:hAnsi="宋体" w:cs="宋体"/>
                <w:kern w:val="0"/>
              </w:rPr>
              <w:t>1</w:t>
            </w:r>
            <w:r>
              <w:rPr>
                <w:rFonts w:hint="eastAsia" w:ascii="宋体" w:hAnsi="宋体" w:cs="宋体"/>
                <w:kern w:val="0"/>
              </w:rPr>
              <w:t>分）；</w:t>
            </w:r>
          </w:p>
          <w:p>
            <w:pPr>
              <w:widowControl/>
              <w:spacing w:line="320" w:lineRule="exact"/>
              <w:ind w:firstLine="315" w:firstLineChars="150"/>
              <w:rPr>
                <w:rFonts w:ascii="宋体"/>
                <w:kern w:val="0"/>
              </w:rPr>
            </w:pPr>
            <w:r>
              <w:rPr>
                <w:rFonts w:ascii="宋体" w:hAnsi="宋体" w:cs="宋体"/>
                <w:kern w:val="0"/>
              </w:rPr>
              <w:t>3.</w:t>
            </w:r>
            <w:r>
              <w:rPr>
                <w:rFonts w:hint="eastAsia" w:ascii="宋体" w:hAnsi="宋体" w:cs="宋体"/>
                <w:kern w:val="0"/>
              </w:rPr>
              <w:t>当年度群众信访及时办理回复率达</w:t>
            </w:r>
            <w:r>
              <w:rPr>
                <w:rFonts w:ascii="宋体" w:hAnsi="宋体" w:cs="宋体"/>
                <w:kern w:val="0"/>
              </w:rPr>
              <w:t>100%</w:t>
            </w:r>
            <w:r>
              <w:rPr>
                <w:rFonts w:hint="eastAsia" w:ascii="宋体" w:hAnsi="宋体" w:cs="宋体"/>
                <w:kern w:val="0"/>
              </w:rPr>
              <w:t>，未发生超期（</w:t>
            </w:r>
            <w:r>
              <w:rPr>
                <w:rFonts w:ascii="宋体" w:hAnsi="宋体" w:cs="宋体"/>
                <w:kern w:val="0"/>
              </w:rPr>
              <w:t>1</w:t>
            </w:r>
            <w:r>
              <w:rPr>
                <w:rFonts w:hint="eastAsia" w:ascii="宋体" w:hAnsi="宋体" w:cs="宋体"/>
                <w:kern w:val="0"/>
              </w:rPr>
              <w:t>分）。</w:t>
            </w:r>
          </w:p>
        </w:tc>
        <w:tc>
          <w:tcPr>
            <w:tcW w:w="709" w:type="dxa"/>
            <w:tcBorders>
              <w:top w:val="nil"/>
              <w:left w:val="nil"/>
              <w:bottom w:val="single" w:color="auto" w:sz="4" w:space="0"/>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2410" w:type="dxa"/>
            <w:tcBorders>
              <w:top w:val="nil"/>
              <w:left w:val="nil"/>
              <w:bottom w:val="single" w:color="auto" w:sz="4" w:space="0"/>
              <w:right w:val="single" w:color="auto" w:sz="4" w:space="0"/>
            </w:tcBorders>
          </w:tcPr>
          <w:p>
            <w:pPr>
              <w:widowControl/>
              <w:spacing w:line="320" w:lineRule="exact"/>
              <w:ind w:firstLine="315" w:firstLineChars="150"/>
              <w:rPr>
                <w:rFonts w:ascii="宋体" w:hAnsi="宋体" w:cs="宋体"/>
                <w:kern w:val="0"/>
              </w:rPr>
            </w:pPr>
          </w:p>
        </w:tc>
      </w:tr>
      <w:tr>
        <w:tblPrEx>
          <w:tblCellMar>
            <w:top w:w="0" w:type="dxa"/>
            <w:left w:w="108" w:type="dxa"/>
            <w:bottom w:w="0" w:type="dxa"/>
            <w:right w:w="108" w:type="dxa"/>
          </w:tblCellMar>
        </w:tblPrEx>
        <w:trPr>
          <w:trHeight w:val="1401" w:hRule="atLeast"/>
        </w:trPr>
        <w:tc>
          <w:tcPr>
            <w:tcW w:w="57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567" w:type="dxa"/>
            <w:vMerge w:val="continue"/>
            <w:tcBorders>
              <w:top w:val="nil"/>
              <w:left w:val="single" w:color="auto" w:sz="4" w:space="0"/>
              <w:bottom w:val="nil"/>
              <w:right w:val="single" w:color="auto" w:sz="4" w:space="0"/>
            </w:tcBorders>
            <w:vAlign w:val="center"/>
          </w:tcPr>
          <w:p>
            <w:pPr>
              <w:widowControl/>
              <w:spacing w:line="320" w:lineRule="exact"/>
              <w:jc w:val="left"/>
              <w:rPr>
                <w:rFonts w:ascii="宋体"/>
                <w:kern w:val="0"/>
              </w:rPr>
            </w:pPr>
          </w:p>
        </w:tc>
        <w:tc>
          <w:tcPr>
            <w:tcW w:w="851" w:type="dxa"/>
            <w:tcBorders>
              <w:top w:val="nil"/>
              <w:left w:val="nil"/>
              <w:bottom w:val="nil"/>
              <w:right w:val="single" w:color="auto" w:sz="4" w:space="0"/>
            </w:tcBorders>
            <w:vAlign w:val="center"/>
          </w:tcPr>
          <w:p>
            <w:pPr>
              <w:widowControl/>
              <w:spacing w:line="320" w:lineRule="exact"/>
              <w:jc w:val="left"/>
              <w:rPr>
                <w:rFonts w:ascii="宋体"/>
                <w:kern w:val="0"/>
              </w:rPr>
            </w:pPr>
            <w:r>
              <w:rPr>
                <w:rFonts w:hint="eastAsia" w:ascii="宋体" w:hAnsi="宋体" w:cs="宋体"/>
                <w:kern w:val="0"/>
              </w:rPr>
              <w:t>公众或服务对象满意度</w:t>
            </w:r>
          </w:p>
        </w:tc>
        <w:tc>
          <w:tcPr>
            <w:tcW w:w="567" w:type="dxa"/>
            <w:tcBorders>
              <w:top w:val="nil"/>
              <w:left w:val="nil"/>
              <w:bottom w:val="nil"/>
              <w:right w:val="single" w:color="auto" w:sz="4" w:space="0"/>
            </w:tcBorders>
            <w:vAlign w:val="center"/>
          </w:tcPr>
          <w:p>
            <w:pPr>
              <w:widowControl/>
              <w:spacing w:line="320" w:lineRule="exact"/>
              <w:jc w:val="center"/>
              <w:rPr>
                <w:rFonts w:ascii="宋体"/>
                <w:kern w:val="0"/>
              </w:rPr>
            </w:pPr>
            <w:r>
              <w:rPr>
                <w:rFonts w:ascii="宋体" w:hAnsi="宋体" w:cs="宋体"/>
                <w:kern w:val="0"/>
              </w:rPr>
              <w:t>6</w:t>
            </w:r>
          </w:p>
        </w:tc>
        <w:tc>
          <w:tcPr>
            <w:tcW w:w="2536" w:type="dxa"/>
            <w:tcBorders>
              <w:top w:val="nil"/>
              <w:left w:val="nil"/>
              <w:bottom w:val="nil"/>
              <w:right w:val="single" w:color="auto" w:sz="4" w:space="0"/>
            </w:tcBorders>
            <w:vAlign w:val="center"/>
          </w:tcPr>
          <w:p>
            <w:pPr>
              <w:widowControl/>
              <w:spacing w:line="320" w:lineRule="exact"/>
              <w:rPr>
                <w:rFonts w:ascii="宋体"/>
                <w:kern w:val="0"/>
              </w:rPr>
            </w:pPr>
            <w:r>
              <w:rPr>
                <w:rFonts w:hint="eastAsia" w:ascii="宋体" w:hAnsi="宋体" w:cs="宋体"/>
                <w:kern w:val="0"/>
              </w:rPr>
              <w:t>反映社会公众或部门（单位）的服务对象对部门履职效果的满意度。</w:t>
            </w:r>
          </w:p>
        </w:tc>
        <w:tc>
          <w:tcPr>
            <w:tcW w:w="5812" w:type="dxa"/>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420"/>
              <w:textAlignment w:val="auto"/>
              <w:rPr>
                <w:rFonts w:ascii="宋体"/>
                <w:kern w:val="0"/>
              </w:rPr>
            </w:pPr>
            <w:r>
              <w:rPr>
                <w:rFonts w:hint="eastAsia" w:ascii="宋体" w:hAnsi="宋体" w:cs="宋体"/>
                <w:kern w:val="0"/>
              </w:rPr>
              <w:t>社会公众或服务对象是指部门（单位）履行职责而影响到的部门、群体或个人，一般采取社会调查的方式。如难以单独开展满意度调查的，可参考区统计部门的数据、年度区直民主评议政风行风评价结果等数据，或者参考群众信访反馈的普遍性问题、本部门或权威第三方机构的开展满意度调查等进行分档计分。</w:t>
            </w:r>
          </w:p>
          <w:p>
            <w:pPr>
              <w:keepNext w:val="0"/>
              <w:keepLines w:val="0"/>
              <w:pageBreakBefore w:val="0"/>
              <w:widowControl/>
              <w:kinsoku/>
              <w:wordWrap/>
              <w:overflowPunct/>
              <w:topLinePunct w:val="0"/>
              <w:autoSpaceDE/>
              <w:autoSpaceDN/>
              <w:bidi w:val="0"/>
              <w:adjustRightInd/>
              <w:snapToGrid/>
              <w:spacing w:line="280" w:lineRule="exact"/>
              <w:ind w:firstLine="420"/>
              <w:textAlignment w:val="auto"/>
              <w:rPr>
                <w:rFonts w:ascii="宋体"/>
                <w:kern w:val="0"/>
              </w:rPr>
            </w:pPr>
            <w:r>
              <w:rPr>
                <w:rFonts w:ascii="宋体" w:hAnsi="宋体" w:cs="宋体"/>
                <w:kern w:val="0"/>
              </w:rPr>
              <w:t>1.</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6</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80" w:lineRule="exact"/>
              <w:ind w:firstLine="420"/>
              <w:textAlignment w:val="auto"/>
              <w:rPr>
                <w:rFonts w:ascii="宋体"/>
                <w:kern w:val="0"/>
              </w:rPr>
            </w:pPr>
            <w:r>
              <w:rPr>
                <w:rFonts w:ascii="宋体" w:cs="宋体"/>
                <w:kern w:val="0"/>
              </w:rPr>
              <w:t>2.</w:t>
            </w:r>
            <w:r>
              <w:rPr>
                <w:rFonts w:ascii="宋体" w:hAnsi="宋体" w:cs="宋体"/>
                <w:kern w:val="0"/>
              </w:rPr>
              <w:t>90%</w:t>
            </w:r>
            <w:r>
              <w:rPr>
                <w:rFonts w:hint="eastAsia" w:ascii="宋体" w:hAnsi="宋体" w:cs="宋体"/>
                <w:kern w:val="0"/>
              </w:rPr>
              <w:t>≤满意度＜</w:t>
            </w:r>
            <w:r>
              <w:rPr>
                <w:rFonts w:ascii="宋体" w:hAnsi="宋体" w:cs="宋体"/>
                <w:kern w:val="0"/>
              </w:rPr>
              <w:t>95%</w:t>
            </w:r>
            <w:r>
              <w:rPr>
                <w:rFonts w:hint="eastAsia" w:ascii="宋体" w:hAnsi="宋体" w:cs="宋体"/>
                <w:kern w:val="0"/>
              </w:rPr>
              <w:t>的，得</w:t>
            </w:r>
            <w:r>
              <w:rPr>
                <w:rFonts w:ascii="宋体" w:hAnsi="宋体" w:cs="宋体"/>
                <w:kern w:val="0"/>
              </w:rPr>
              <w:t>4</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80" w:lineRule="exact"/>
              <w:ind w:firstLine="420"/>
              <w:textAlignment w:val="auto"/>
              <w:rPr>
                <w:rFonts w:ascii="宋体"/>
                <w:kern w:val="0"/>
              </w:rPr>
            </w:pPr>
            <w:r>
              <w:rPr>
                <w:rFonts w:ascii="宋体" w:hAnsi="宋体" w:cs="宋体"/>
                <w:kern w:val="0"/>
              </w:rPr>
              <w:t>3.80%</w:t>
            </w:r>
            <w:r>
              <w:rPr>
                <w:rFonts w:hint="eastAsia" w:ascii="宋体" w:hAnsi="宋体" w:cs="宋体"/>
                <w:kern w:val="0"/>
              </w:rPr>
              <w:t>≤满意度＜</w:t>
            </w:r>
            <w:r>
              <w:rPr>
                <w:rFonts w:ascii="宋体" w:hAnsi="宋体" w:cs="宋体"/>
                <w:kern w:val="0"/>
              </w:rPr>
              <w:t>90%</w:t>
            </w:r>
            <w:r>
              <w:rPr>
                <w:rFonts w:hint="eastAsia" w:ascii="宋体" w:hAnsi="宋体" w:cs="宋体"/>
                <w:kern w:val="0"/>
              </w:rPr>
              <w:t>的，得</w:t>
            </w:r>
            <w:r>
              <w:rPr>
                <w:rFonts w:ascii="宋体" w:hAnsi="宋体" w:cs="宋体"/>
                <w:kern w:val="0"/>
              </w:rPr>
              <w:t>2</w:t>
            </w:r>
            <w:r>
              <w:rPr>
                <w:rFonts w:hint="eastAsia" w:ascii="宋体" w:hAnsi="宋体" w:cs="宋体"/>
                <w:kern w:val="0"/>
              </w:rPr>
              <w:t>分；</w:t>
            </w:r>
          </w:p>
          <w:p>
            <w:pPr>
              <w:keepNext w:val="0"/>
              <w:keepLines w:val="0"/>
              <w:pageBreakBefore w:val="0"/>
              <w:widowControl/>
              <w:kinsoku/>
              <w:wordWrap/>
              <w:overflowPunct/>
              <w:topLinePunct w:val="0"/>
              <w:autoSpaceDE/>
              <w:autoSpaceDN/>
              <w:bidi w:val="0"/>
              <w:adjustRightInd/>
              <w:snapToGrid/>
              <w:spacing w:line="280" w:lineRule="exact"/>
              <w:ind w:firstLine="420"/>
              <w:textAlignment w:val="auto"/>
              <w:rPr>
                <w:rFonts w:ascii="宋体"/>
                <w:kern w:val="0"/>
              </w:rPr>
            </w:pPr>
            <w:r>
              <w:rPr>
                <w:rFonts w:ascii="宋体" w:hAnsi="宋体" w:cs="宋体"/>
                <w:kern w:val="0"/>
              </w:rPr>
              <w:t>4.</w:t>
            </w:r>
            <w:r>
              <w:rPr>
                <w:rFonts w:hint="eastAsia" w:ascii="宋体" w:hAnsi="宋体" w:cs="宋体"/>
                <w:kern w:val="0"/>
              </w:rPr>
              <w:t>满意度＜</w:t>
            </w:r>
            <w:r>
              <w:rPr>
                <w:rFonts w:ascii="宋体" w:hAnsi="宋体" w:cs="宋体"/>
                <w:kern w:val="0"/>
              </w:rPr>
              <w:t>80%</w:t>
            </w:r>
            <w:r>
              <w:rPr>
                <w:rFonts w:hint="eastAsia" w:ascii="宋体" w:hAnsi="宋体" w:cs="宋体"/>
                <w:kern w:val="0"/>
              </w:rPr>
              <w:t>的，得</w:t>
            </w:r>
            <w:r>
              <w:rPr>
                <w:rFonts w:ascii="宋体" w:hAnsi="宋体" w:cs="宋体"/>
                <w:kern w:val="0"/>
              </w:rPr>
              <w:t>1</w:t>
            </w:r>
            <w:r>
              <w:rPr>
                <w:rFonts w:hint="eastAsia" w:ascii="宋体" w:hAnsi="宋体" w:cs="宋体"/>
                <w:kern w:val="0"/>
              </w:rPr>
              <w:t>分。</w:t>
            </w:r>
          </w:p>
        </w:tc>
        <w:tc>
          <w:tcPr>
            <w:tcW w:w="709" w:type="dxa"/>
            <w:tcBorders>
              <w:top w:val="nil"/>
              <w:left w:val="nil"/>
              <w:bottom w:val="nil"/>
              <w:right w:val="single" w:color="auto" w:sz="4" w:space="0"/>
            </w:tcBorders>
            <w:vAlign w:val="center"/>
          </w:tcPr>
          <w:p>
            <w:pPr>
              <w:widowControl/>
              <w:spacing w:line="320" w:lineRule="exact"/>
              <w:jc w:val="center"/>
              <w:rPr>
                <w:rFonts w:hint="eastAsia" w:ascii="宋体" w:hAnsi="宋体" w:eastAsia="宋体" w:cs="宋体"/>
                <w:kern w:val="0"/>
                <w:lang w:val="en-US" w:eastAsia="zh-CN"/>
              </w:rPr>
            </w:pPr>
            <w:r>
              <w:rPr>
                <w:rFonts w:hint="eastAsia" w:ascii="宋体" w:hAnsi="宋体" w:cs="宋体"/>
                <w:kern w:val="0"/>
                <w:lang w:val="en-US" w:eastAsia="zh-CN"/>
              </w:rPr>
              <w:t>6</w:t>
            </w:r>
          </w:p>
        </w:tc>
        <w:tc>
          <w:tcPr>
            <w:tcW w:w="2410" w:type="dxa"/>
            <w:tcBorders>
              <w:top w:val="nil"/>
              <w:left w:val="nil"/>
              <w:bottom w:val="nil"/>
              <w:right w:val="single" w:color="auto" w:sz="4" w:space="0"/>
            </w:tcBorders>
          </w:tcPr>
          <w:p>
            <w:pPr>
              <w:widowControl/>
              <w:spacing w:line="320" w:lineRule="exact"/>
              <w:ind w:firstLine="420"/>
              <w:rPr>
                <w:rFonts w:ascii="宋体" w:hAnsi="宋体" w:cs="宋体"/>
                <w:kern w:val="0"/>
              </w:rPr>
            </w:pPr>
          </w:p>
        </w:tc>
      </w:tr>
      <w:tr>
        <w:tblPrEx>
          <w:tblCellMar>
            <w:top w:w="0" w:type="dxa"/>
            <w:left w:w="108" w:type="dxa"/>
            <w:bottom w:w="0" w:type="dxa"/>
            <w:right w:w="108" w:type="dxa"/>
          </w:tblCellMar>
        </w:tblPrEx>
        <w:trPr>
          <w:trHeight w:val="600" w:hRule="atLeast"/>
        </w:trPr>
        <w:tc>
          <w:tcPr>
            <w:tcW w:w="12044" w:type="dxa"/>
            <w:gridSpan w:val="8"/>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jc w:val="center"/>
              <w:rPr>
                <w:rFonts w:ascii="宋体" w:hAnsi="宋体" w:cs="宋体"/>
                <w:b/>
                <w:bCs/>
                <w:kern w:val="0"/>
              </w:rPr>
            </w:pPr>
            <w:r>
              <w:rPr>
                <w:rFonts w:hint="eastAsia" w:ascii="宋体" w:hAnsi="宋体" w:cs="宋体"/>
                <w:b/>
                <w:bCs/>
                <w:kern w:val="0"/>
              </w:rPr>
              <w:t>总得分情况</w:t>
            </w:r>
          </w:p>
        </w:tc>
        <w:tc>
          <w:tcPr>
            <w:tcW w:w="709"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宋体" w:hAnsi="宋体" w:eastAsia="宋体" w:cs="宋体"/>
                <w:kern w:val="0"/>
                <w:lang w:val="en-US" w:eastAsia="zh-CN"/>
              </w:rPr>
            </w:pPr>
            <w:r>
              <w:rPr>
                <w:rFonts w:hint="eastAsia" w:ascii="宋体" w:hAnsi="宋体" w:cs="宋体"/>
                <w:kern w:val="0"/>
                <w:lang w:val="en-US" w:eastAsia="zh-CN"/>
              </w:rPr>
              <w:t>98</w:t>
            </w:r>
          </w:p>
        </w:tc>
        <w:tc>
          <w:tcPr>
            <w:tcW w:w="2410" w:type="dxa"/>
            <w:tcBorders>
              <w:top w:val="single" w:color="auto" w:sz="4" w:space="0"/>
              <w:left w:val="nil"/>
              <w:bottom w:val="single" w:color="auto" w:sz="4" w:space="0"/>
              <w:right w:val="single" w:color="auto" w:sz="4" w:space="0"/>
            </w:tcBorders>
          </w:tcPr>
          <w:p>
            <w:pPr>
              <w:widowControl/>
              <w:spacing w:line="320" w:lineRule="exact"/>
              <w:ind w:firstLine="420"/>
              <w:rPr>
                <w:rFonts w:ascii="宋体" w:hAnsi="宋体" w:cs="宋体"/>
                <w:kern w:val="0"/>
              </w:rPr>
            </w:pPr>
          </w:p>
        </w:tc>
      </w:tr>
    </w:tbl>
    <w:p>
      <w:pPr>
        <w:spacing w:line="320" w:lineRule="exact"/>
      </w:pPr>
      <w:r>
        <w:rPr>
          <w:rFonts w:hint="eastAsia" w:cs="宋体"/>
        </w:rPr>
        <w:t>附注：</w:t>
      </w:r>
      <w:r>
        <w:t>1.</w:t>
      </w:r>
      <w:r>
        <w:rPr>
          <w:rFonts w:hint="eastAsia" w:cs="宋体"/>
        </w:rPr>
        <w:t>《部门整体支出绩效评价共性指标体系框架》的适用对象是部门和单位；</w:t>
      </w:r>
    </w:p>
    <w:p>
      <w:pPr>
        <w:spacing w:line="320" w:lineRule="exact"/>
      </w:pPr>
      <w:r>
        <w:t xml:space="preserve">      2.</w:t>
      </w:r>
      <w:r>
        <w:rPr>
          <w:rFonts w:hint="eastAsia" w:cs="宋体"/>
        </w:rPr>
        <w:t>各项指标的分值是参考分值，各部门各单位在开展绩效评价时可结合不同评价对象的特点，赋予评价指标科学合理的权重分值，明确具体的评分标准。</w:t>
      </w:r>
    </w:p>
    <w:sectPr>
      <w:footerReference r:id="rId4" w:type="default"/>
      <w:pgSz w:w="16838" w:h="11906" w:orient="landscape"/>
      <w:pgMar w:top="709" w:right="820" w:bottom="1135" w:left="851" w:header="851" w:footer="680"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5914E"/>
    <w:multiLevelType w:val="singleLevel"/>
    <w:tmpl w:val="DDD5914E"/>
    <w:lvl w:ilvl="0" w:tentative="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8D"/>
    <w:rsid w:val="00015287"/>
    <w:rsid w:val="000757DF"/>
    <w:rsid w:val="00096A12"/>
    <w:rsid w:val="000C1693"/>
    <w:rsid w:val="000C7F39"/>
    <w:rsid w:val="000D5ECC"/>
    <w:rsid w:val="00150867"/>
    <w:rsid w:val="00156F7B"/>
    <w:rsid w:val="00186083"/>
    <w:rsid w:val="001A4FCA"/>
    <w:rsid w:val="001B1562"/>
    <w:rsid w:val="001E1A5E"/>
    <w:rsid w:val="001E702E"/>
    <w:rsid w:val="001F5AA4"/>
    <w:rsid w:val="00200398"/>
    <w:rsid w:val="00235966"/>
    <w:rsid w:val="002A7700"/>
    <w:rsid w:val="002E0FBC"/>
    <w:rsid w:val="00314E08"/>
    <w:rsid w:val="00323B8D"/>
    <w:rsid w:val="003577C2"/>
    <w:rsid w:val="00382649"/>
    <w:rsid w:val="00394B68"/>
    <w:rsid w:val="003A3AB8"/>
    <w:rsid w:val="003B1900"/>
    <w:rsid w:val="003D5362"/>
    <w:rsid w:val="003E2490"/>
    <w:rsid w:val="003F3BCB"/>
    <w:rsid w:val="00447BDD"/>
    <w:rsid w:val="004A3245"/>
    <w:rsid w:val="004B47F6"/>
    <w:rsid w:val="00504CEC"/>
    <w:rsid w:val="0051517E"/>
    <w:rsid w:val="00567EEA"/>
    <w:rsid w:val="0058344B"/>
    <w:rsid w:val="005A7B7C"/>
    <w:rsid w:val="005C793D"/>
    <w:rsid w:val="005D6FD8"/>
    <w:rsid w:val="005F0C07"/>
    <w:rsid w:val="0065716A"/>
    <w:rsid w:val="006668F7"/>
    <w:rsid w:val="00670E00"/>
    <w:rsid w:val="00676402"/>
    <w:rsid w:val="006A08E5"/>
    <w:rsid w:val="006A0B18"/>
    <w:rsid w:val="006E2C6E"/>
    <w:rsid w:val="006F0724"/>
    <w:rsid w:val="00752D49"/>
    <w:rsid w:val="00775B6F"/>
    <w:rsid w:val="007B1093"/>
    <w:rsid w:val="007C6A8D"/>
    <w:rsid w:val="007C77C0"/>
    <w:rsid w:val="007E03B1"/>
    <w:rsid w:val="007E16C0"/>
    <w:rsid w:val="007F11FC"/>
    <w:rsid w:val="00851088"/>
    <w:rsid w:val="0085384E"/>
    <w:rsid w:val="00862580"/>
    <w:rsid w:val="00866D4F"/>
    <w:rsid w:val="00886EBB"/>
    <w:rsid w:val="008C01DD"/>
    <w:rsid w:val="008C5E9F"/>
    <w:rsid w:val="008D3C34"/>
    <w:rsid w:val="00907B9F"/>
    <w:rsid w:val="009254A3"/>
    <w:rsid w:val="009374E9"/>
    <w:rsid w:val="0094704A"/>
    <w:rsid w:val="009803FA"/>
    <w:rsid w:val="009B6BB4"/>
    <w:rsid w:val="00A327AA"/>
    <w:rsid w:val="00AA5338"/>
    <w:rsid w:val="00AC140F"/>
    <w:rsid w:val="00AD4C3B"/>
    <w:rsid w:val="00AD7537"/>
    <w:rsid w:val="00B012E2"/>
    <w:rsid w:val="00B16374"/>
    <w:rsid w:val="00B21797"/>
    <w:rsid w:val="00B9050E"/>
    <w:rsid w:val="00BB7A05"/>
    <w:rsid w:val="00BD192D"/>
    <w:rsid w:val="00C2157C"/>
    <w:rsid w:val="00C300F9"/>
    <w:rsid w:val="00C409C6"/>
    <w:rsid w:val="00C702B8"/>
    <w:rsid w:val="00CB6C81"/>
    <w:rsid w:val="00CB7FE9"/>
    <w:rsid w:val="00CC0E1B"/>
    <w:rsid w:val="00CC7C71"/>
    <w:rsid w:val="00CD00CD"/>
    <w:rsid w:val="00CD69A4"/>
    <w:rsid w:val="00D50E3A"/>
    <w:rsid w:val="00D86FE6"/>
    <w:rsid w:val="00DC002F"/>
    <w:rsid w:val="00DD1293"/>
    <w:rsid w:val="00E35476"/>
    <w:rsid w:val="00E61598"/>
    <w:rsid w:val="00E975EF"/>
    <w:rsid w:val="00EA1345"/>
    <w:rsid w:val="00F05CC5"/>
    <w:rsid w:val="00F76790"/>
    <w:rsid w:val="00F85BCF"/>
    <w:rsid w:val="00FA665A"/>
    <w:rsid w:val="03665CDC"/>
    <w:rsid w:val="0D087831"/>
    <w:rsid w:val="0E533D12"/>
    <w:rsid w:val="11A10911"/>
    <w:rsid w:val="11DD0462"/>
    <w:rsid w:val="14CB41B5"/>
    <w:rsid w:val="188E4D8A"/>
    <w:rsid w:val="191F644A"/>
    <w:rsid w:val="19F26185"/>
    <w:rsid w:val="1C4F6972"/>
    <w:rsid w:val="25817AE3"/>
    <w:rsid w:val="275C060A"/>
    <w:rsid w:val="28ED7A5D"/>
    <w:rsid w:val="29FC54EF"/>
    <w:rsid w:val="2C2A1B31"/>
    <w:rsid w:val="2E3319C6"/>
    <w:rsid w:val="30253756"/>
    <w:rsid w:val="30A95A9F"/>
    <w:rsid w:val="369343DE"/>
    <w:rsid w:val="38931656"/>
    <w:rsid w:val="39237B52"/>
    <w:rsid w:val="398836B7"/>
    <w:rsid w:val="39A03E31"/>
    <w:rsid w:val="3A4F0946"/>
    <w:rsid w:val="3B725837"/>
    <w:rsid w:val="3D4E6004"/>
    <w:rsid w:val="3E143954"/>
    <w:rsid w:val="3FDE343F"/>
    <w:rsid w:val="42926EAA"/>
    <w:rsid w:val="46353844"/>
    <w:rsid w:val="49C62D2A"/>
    <w:rsid w:val="4CDD2DAE"/>
    <w:rsid w:val="51237797"/>
    <w:rsid w:val="51CD0BC7"/>
    <w:rsid w:val="562E37AF"/>
    <w:rsid w:val="576077E0"/>
    <w:rsid w:val="5A265BE2"/>
    <w:rsid w:val="5B0C2A3C"/>
    <w:rsid w:val="5D814826"/>
    <w:rsid w:val="60190682"/>
    <w:rsid w:val="6039050C"/>
    <w:rsid w:val="644A0624"/>
    <w:rsid w:val="660225D8"/>
    <w:rsid w:val="6BDE2580"/>
    <w:rsid w:val="6CA552B6"/>
    <w:rsid w:val="6E493CD8"/>
    <w:rsid w:val="6F037CE0"/>
    <w:rsid w:val="703D6EA8"/>
    <w:rsid w:val="745C5348"/>
    <w:rsid w:val="74FD3FF1"/>
    <w:rsid w:val="76081FE6"/>
    <w:rsid w:val="79194887"/>
    <w:rsid w:val="7C9A5782"/>
    <w:rsid w:val="F74A4C2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4"/>
    <w:semiHidden/>
    <w:unhideWhenUsed/>
    <w:qFormat/>
    <w:uiPriority w:val="99"/>
    <w:pPr>
      <w:snapToGrid w:val="0"/>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endnote reference"/>
    <w:basedOn w:val="8"/>
    <w:semiHidden/>
    <w:unhideWhenUsed/>
    <w:qFormat/>
    <w:uiPriority w:val="99"/>
    <w:rPr>
      <w:vertAlign w:val="superscript"/>
    </w:rPr>
  </w:style>
  <w:style w:type="character" w:styleId="10">
    <w:name w:val="page number"/>
    <w:basedOn w:val="8"/>
    <w:qFormat/>
    <w:uiPriority w:val="99"/>
  </w:style>
  <w:style w:type="character" w:customStyle="1" w:styleId="11">
    <w:name w:val="批注框文本 字符"/>
    <w:basedOn w:val="8"/>
    <w:link w:val="3"/>
    <w:semiHidden/>
    <w:qFormat/>
    <w:uiPriority w:val="99"/>
    <w:rPr>
      <w:rFonts w:ascii="Times New Roman" w:hAnsi="Times New Roman" w:eastAsia="宋体" w:cs="Times New Roman"/>
      <w:sz w:val="18"/>
      <w:szCs w:val="18"/>
    </w:rPr>
  </w:style>
  <w:style w:type="character" w:customStyle="1" w:styleId="12">
    <w:name w:val="页眉 字符"/>
    <w:basedOn w:val="8"/>
    <w:link w:val="5"/>
    <w:qFormat/>
    <w:uiPriority w:val="99"/>
    <w:rPr>
      <w:rFonts w:ascii="Times New Roman" w:hAnsi="Times New Roman" w:eastAsia="宋体" w:cs="Times New Roman"/>
      <w:sz w:val="18"/>
      <w:szCs w:val="18"/>
    </w:rPr>
  </w:style>
  <w:style w:type="character" w:customStyle="1" w:styleId="13">
    <w:name w:val="页脚 字符"/>
    <w:basedOn w:val="8"/>
    <w:link w:val="4"/>
    <w:qFormat/>
    <w:uiPriority w:val="99"/>
    <w:rPr>
      <w:rFonts w:ascii="Times New Roman" w:hAnsi="Times New Roman" w:eastAsia="宋体" w:cs="Times New Roman"/>
      <w:sz w:val="18"/>
      <w:szCs w:val="18"/>
    </w:rPr>
  </w:style>
  <w:style w:type="character" w:customStyle="1" w:styleId="14">
    <w:name w:val="尾注文本 字符"/>
    <w:basedOn w:val="8"/>
    <w:link w:val="2"/>
    <w:semiHidden/>
    <w:qFormat/>
    <w:uiPriority w:val="99"/>
    <w:rPr>
      <w:rFonts w:ascii="Times New Roman" w:hAnsi="Times New Roman" w:eastAsia="宋体" w:cs="Times New Roman"/>
      <w:szCs w:val="24"/>
    </w:rPr>
  </w:style>
  <w:style w:type="character" w:customStyle="1" w:styleId="15">
    <w:name w:val="bjh-strong3"/>
    <w:basedOn w:val="8"/>
    <w:qFormat/>
    <w:uiPriority w:val="0"/>
    <w:rPr>
      <w:color w:val="999999"/>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941</Words>
  <Characters>5366</Characters>
  <Lines>44</Lines>
  <Paragraphs>12</Paragraphs>
  <TotalTime>13</TotalTime>
  <ScaleCrop>false</ScaleCrop>
  <LinksUpToDate>false</LinksUpToDate>
  <CharactersWithSpaces>6295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2019-03-07T11:34:00Z</dcterms:created>
  <dc:creator>桂鑫</dc:creator>
  <cp:lastModifiedBy>周小维</cp:lastModifiedBy>
  <dcterms:modified xsi:type="dcterms:W3CDTF">2022-11-21T15:45:13Z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7F39CE9C0325425C9FE03BE32E0AC86F</vt:lpwstr>
  </property>
</Properties>
</file>