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吉华街道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年法治政府建设工作报告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今年以来，吉华街道按照党的十九大关于全面推进依法治国，建设中国特色社会主义法治体系、建设社会主义法治国家的精神，在龙岗区委、区政府的正确领导下，紧紧围绕职能科学、权责法定、执法严明、公开公正、廉洁高效、守法诚信的法治政府建设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扎实开展法治政府建设各项工作，</w:t>
      </w:r>
      <w:r>
        <w:rPr>
          <w:rFonts w:hint="eastAsia" w:ascii="仿宋_GB2312" w:eastAsia="仿宋_GB2312"/>
          <w:sz w:val="32"/>
          <w:szCs w:val="32"/>
        </w:rPr>
        <w:t>全面提升基层法治水平，培育吉华特色法治文化。</w:t>
      </w:r>
      <w:r>
        <w:rPr>
          <w:rFonts w:hint="eastAsia" w:ascii="仿宋_GB2312" w:hAnsi="微软雅黑" w:eastAsia="仿宋_GB2312"/>
          <w:sz w:val="32"/>
          <w:szCs w:val="32"/>
        </w:rPr>
        <w:t>现将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2020</w:t>
      </w:r>
      <w:r>
        <w:rPr>
          <w:rFonts w:hint="eastAsia" w:ascii="仿宋_GB2312" w:hAnsi="微软雅黑" w:eastAsia="仿宋_GB2312"/>
          <w:sz w:val="32"/>
          <w:szCs w:val="32"/>
        </w:rPr>
        <w:t>年我街道法治政府建设工作情况报告如下：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年法治政府建设工作情况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（一）加强规范性文件管理监督，完善制度建设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街道办事处和街道办事处办公室名义发布的文件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一一进行审查，并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制定发文目录，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确保各项文件的制定有明确的法律法规规章依据。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严格依法办事，提高决策水平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一是严格执行行政决策程序。严格按照《吉华街道党工委会议议事规范》《吉华街道办事处领导班子会议议事规范》《吉华街道领导班子成员分工负责制度》《吉华街道领导班子成员及其他处级干部分工表》等文件规定，在公文审批和办理、执行力、纪律和作风、监督制度等各方面做到有章可循，严格遵守，明确重大事项议事内容、决策程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推进领导班子与律师结对子制度。法律顾问为街道重大行政决策和社会综合治理提供法律支撑，今年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，充分发挥法律顾问在矛盾纠纷化解、重大事项风险评估等方面的专业力量。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是坚持民主集中制，班子团结合作。坚持重大问题事前通报征询、会上集体讨论决定，确保议事高效、公开透明、科学决策。班子成员之间分工明确、职责分明、AB角合理搭配，既有分工又有合作；工作上主要领导把握大局，分管领导各负其责，互相配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）严格规范行政执法行为，提升依法行政水平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hAnsi="仿宋"/>
          <w:sz w:val="32"/>
          <w:szCs w:val="32"/>
          <w:highlight w:val="none"/>
        </w:rPr>
        <w:t>一是严格开展行政执法。今年</w:t>
      </w:r>
      <w:r>
        <w:rPr>
          <w:rFonts w:hint="eastAsia" w:hAnsi="仿宋"/>
          <w:sz w:val="32"/>
          <w:szCs w:val="32"/>
          <w:highlight w:val="none"/>
          <w:lang w:eastAsia="zh-CN"/>
        </w:rPr>
        <w:t>安全生产执法</w:t>
      </w:r>
      <w:r>
        <w:rPr>
          <w:rFonts w:hint="eastAsia" w:hAnsi="仿宋"/>
          <w:sz w:val="32"/>
          <w:szCs w:val="32"/>
          <w:highlight w:val="none"/>
        </w:rPr>
        <w:t>检查计划内企业数量共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60</w:t>
      </w:r>
      <w:r>
        <w:rPr>
          <w:rFonts w:hint="eastAsia" w:hAnsi="仿宋"/>
          <w:sz w:val="32"/>
          <w:szCs w:val="32"/>
          <w:highlight w:val="none"/>
        </w:rPr>
        <w:t>家，目前共完成检查企业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701</w:t>
      </w:r>
      <w:r>
        <w:rPr>
          <w:rFonts w:hint="eastAsia" w:hAnsi="仿宋"/>
          <w:sz w:val="32"/>
          <w:szCs w:val="32"/>
          <w:highlight w:val="none"/>
        </w:rPr>
        <w:t>家，处罚企业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125</w:t>
      </w:r>
      <w:r>
        <w:rPr>
          <w:rFonts w:hint="eastAsia" w:hAnsi="仿宋"/>
          <w:sz w:val="32"/>
          <w:szCs w:val="32"/>
          <w:highlight w:val="none"/>
        </w:rPr>
        <w:t>家，处罚金额129.06万</w:t>
      </w:r>
      <w:r>
        <w:rPr>
          <w:rFonts w:hint="eastAsia" w:hAnsi="仿宋"/>
          <w:sz w:val="32"/>
          <w:szCs w:val="32"/>
          <w:highlight w:val="none"/>
          <w:lang w:eastAsia="zh-CN"/>
        </w:rPr>
        <w:t>元</w:t>
      </w:r>
      <w:r>
        <w:rPr>
          <w:rFonts w:hint="eastAsia" w:hAnsi="仿宋"/>
          <w:sz w:val="32"/>
          <w:szCs w:val="32"/>
          <w:highlight w:val="none"/>
        </w:rPr>
        <w:t>；</w:t>
      </w:r>
      <w:r>
        <w:rPr>
          <w:rFonts w:hint="eastAsia" w:hAnsi="仿宋"/>
          <w:sz w:val="32"/>
          <w:szCs w:val="32"/>
          <w:highlight w:val="none"/>
          <w:lang w:eastAsia="zh-CN"/>
        </w:rPr>
        <w:t>城管执法</w:t>
      </w:r>
      <w:r>
        <w:rPr>
          <w:rFonts w:hint="eastAsia" w:hAnsi="仿宋"/>
          <w:sz w:val="32"/>
          <w:szCs w:val="32"/>
          <w:highlight w:val="none"/>
        </w:rPr>
        <w:t>累计处理数字化投诉10352宗，查办各类违法案件970宗，收缴罚款331694.4元；查处“六乱一超”违法行为198748宗、违法户外广告116宗（清理8</w:t>
      </w:r>
      <w:r>
        <w:rPr>
          <w:rFonts w:hint="eastAsia" w:hAnsi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00平方</w:t>
      </w:r>
      <w:r>
        <w:rPr>
          <w:rFonts w:hint="eastAsia" w:hAnsi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hAnsi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hAnsi="仿宋"/>
          <w:sz w:val="32"/>
          <w:szCs w:val="32"/>
          <w:highlight w:val="none"/>
          <w:lang w:eastAsia="zh-CN"/>
        </w:rPr>
        <w:t>土地监察执法</w:t>
      </w:r>
      <w:r>
        <w:rPr>
          <w:rFonts w:hint="eastAsia" w:hAnsi="仿宋"/>
          <w:sz w:val="32"/>
          <w:szCs w:val="32"/>
          <w:highlight w:val="none"/>
        </w:rPr>
        <w:t>对新增违建发现一宗查处一宗，实现了“零新增”查违工作目标；</w:t>
      </w:r>
      <w:r>
        <w:rPr>
          <w:rFonts w:hint="eastAsia" w:hAnsi="仿宋"/>
          <w:sz w:val="32"/>
          <w:szCs w:val="32"/>
          <w:highlight w:val="none"/>
          <w:lang w:eastAsia="zh-CN"/>
        </w:rPr>
        <w:t>劳动监察执法</w:t>
      </w:r>
      <w:r>
        <w:rPr>
          <w:rFonts w:hint="eastAsia" w:hAnsi="仿宋"/>
          <w:sz w:val="32"/>
          <w:szCs w:val="32"/>
          <w:highlight w:val="none"/>
        </w:rPr>
        <w:t>共排查企业554家次</w:t>
      </w:r>
      <w:r>
        <w:rPr>
          <w:rFonts w:hint="eastAsia" w:hAnsi="仿宋"/>
          <w:sz w:val="32"/>
          <w:szCs w:val="32"/>
          <w:highlight w:val="none"/>
          <w:lang w:eastAsia="zh-CN"/>
        </w:rPr>
        <w:t>，</w:t>
      </w:r>
      <w:r>
        <w:rPr>
          <w:rFonts w:hint="eastAsia" w:hAnsi="仿宋"/>
          <w:sz w:val="32"/>
          <w:szCs w:val="32"/>
          <w:highlight w:val="none"/>
        </w:rPr>
        <w:t>受理各类争议、投诉举报310宗，涉及人数1217人，妥善处理5人以上30人以下纠纷24宗，涉及人数349人，妥善处理30人以上重大劳资纠纷12宗,涉及人数713人</w:t>
      </w:r>
      <w:r>
        <w:rPr>
          <w:rFonts w:hint="eastAsia" w:hAnsi="仿宋"/>
          <w:sz w:val="32"/>
          <w:szCs w:val="32"/>
          <w:highlight w:val="none"/>
          <w:lang w:eastAsia="zh-CN"/>
        </w:rPr>
        <w:t>，劳动</w:t>
      </w:r>
      <w:r>
        <w:rPr>
          <w:rFonts w:hint="eastAsia" w:hAnsi="仿宋"/>
          <w:sz w:val="32"/>
          <w:szCs w:val="32"/>
          <w:highlight w:val="none"/>
        </w:rPr>
        <w:t>仲裁庭受理(419件)598宗仲裁案件。无因行政违法行为侵犯公民合法权益而引发群体性事件。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二是规范执法主体管理。</w:t>
      </w:r>
      <w:r>
        <w:rPr>
          <w:rFonts w:hint="eastAsia" w:hAnsi="仿宋"/>
          <w:sz w:val="32"/>
          <w:szCs w:val="32"/>
          <w:lang w:eastAsia="zh-CN"/>
        </w:rPr>
        <w:t>推进街道行政综合执法改革及建设行政执法标准化制度，</w:t>
      </w:r>
      <w:r>
        <w:rPr>
          <w:rFonts w:hint="eastAsia" w:hAnsi="仿宋"/>
          <w:sz w:val="32"/>
          <w:szCs w:val="32"/>
        </w:rPr>
        <w:t>进一步理顺区街事权划分，使区安监、劳动、规划土地监察等各执法部门委托给街道的执法事项更加明晰，行政执法主体委托更加规范。同时，加强对行政执法人员的教育和培训，建立执法岗位责任制，坚决杜绝不具备执法资格的个人从事行政执法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Ansi="宋体"/>
          <w:sz w:val="32"/>
          <w:szCs w:val="32"/>
          <w:lang w:val="en-US"/>
        </w:rPr>
      </w:pPr>
      <w:r>
        <w:rPr>
          <w:rFonts w:hint="eastAsia" w:hAnsi="仿宋"/>
          <w:sz w:val="32"/>
          <w:szCs w:val="32"/>
        </w:rPr>
        <w:t>三是</w:t>
      </w:r>
      <w:r>
        <w:rPr>
          <w:rFonts w:hint="eastAsia" w:hAnsi="宋体"/>
          <w:sz w:val="32"/>
          <w:szCs w:val="32"/>
        </w:rPr>
        <w:t>全面推行行政执法公示制度、行政执法全过程记录制度及重大行政执法决定法制审核制度，</w:t>
      </w:r>
      <w:r>
        <w:rPr>
          <w:rFonts w:hint="eastAsia" w:hAnsi="宋体"/>
          <w:sz w:val="32"/>
          <w:szCs w:val="32"/>
          <w:lang w:val="en-US"/>
        </w:rPr>
        <w:t>行政执法事前配合区执法部门公开执法人员姓名、执法证号、随机抽查事项清单、行政执法全过程记录清单、重大行政执法决定法制审核清单等；行政执法事后协助区执法部门公开双随机抽查情况及抽查结果</w:t>
      </w:r>
      <w:r>
        <w:rPr>
          <w:rFonts w:hint="eastAsia" w:hAnsi="宋体"/>
          <w:sz w:val="32"/>
          <w:szCs w:val="32"/>
          <w:lang w:val="en-US" w:eastAsia="zh-CN"/>
        </w:rPr>
        <w:t>及</w:t>
      </w:r>
      <w:r>
        <w:rPr>
          <w:rFonts w:hint="eastAsia" w:hAnsi="宋体"/>
          <w:sz w:val="32"/>
          <w:szCs w:val="32"/>
          <w:lang w:val="en-US"/>
        </w:rPr>
        <w:t>行政许可、行政处罚、行政强制等信息。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四是严格规范行政执法，依照龙岗区行政处罚自由裁量权实施行政处罚，严格执行上级关于执法案件移送相关规定，进一步强化执法监督，规范执法流程，确保一事一案、一案一卷、一卷一审，切实做到在执法过程中依法、依纪、依序进行，增加执法透明度，主动接受执法相对人和人民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依法接受监督，提高依法履职能力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一是</w:t>
      </w:r>
      <w:r>
        <w:rPr>
          <w:rFonts w:ascii="仿宋_GB2312" w:hAnsi="仿宋_GB2312" w:eastAsia="仿宋_GB2312" w:cs="仿宋_GB2312"/>
          <w:color w:val="000000"/>
          <w:sz w:val="32"/>
        </w:rPr>
        <w:t>积极推进党务政务公开</w:t>
      </w:r>
      <w:r>
        <w:rPr>
          <w:rFonts w:hint="eastAsia" w:ascii="仿宋_GB2312" w:hAnsi="仿宋_GB2312" w:eastAsia="仿宋_GB2312" w:cs="仿宋_GB2312"/>
          <w:color w:val="000000"/>
          <w:sz w:val="32"/>
        </w:rPr>
        <w:t>。截至目前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我街道共收到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6份依申请公开，收到46份咨询投诉，全部按照《龙岗区政府信息公开申请办理程序规范》依法依规回复。主动在龙岗政府在线及吉华街道网站公开信息约283份。</w:t>
      </w:r>
      <w:r>
        <w:rPr>
          <w:rFonts w:hint="eastAsia" w:ascii="仿宋_GB2312" w:hAnsi="仿宋_GB2312" w:eastAsia="仿宋_GB2312" w:cs="仿宋_GB2312"/>
          <w:sz w:val="32"/>
        </w:rPr>
        <w:t>在官网首页公布投诉电话，通讯地址及电子邮箱。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是接受人大代表监督。组织人大代表对街道行政事务特别是关乎群众切身利益的热点、难点问题进行全程监督，及时办理人大代表、政协委员的建议或提案。今年市、区两会期间，人大代表和政协委员提交需我街道承办的建议和提案共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/>
          <w:sz w:val="32"/>
          <w:szCs w:val="32"/>
        </w:rPr>
        <w:t>件，其中：人大代表提出建议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sz w:val="32"/>
          <w:szCs w:val="32"/>
        </w:rPr>
        <w:t>件；政协委员提案1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件。街道领导高度重视，组织各相关部门，并由分管领导亲自抓，逐件进行落实。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三是严格执行行政监督。街道各部门的行政许可审批事项已纳入区电子监察系统，申请人可通过网络查看审批进程并进行监督；制定了专项执法督查制度，由纪工委采取明察暗访等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形式开展执法督促检查。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（五）加强法治教育活动，强化依法行政保障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一是全体公职人员有针对性学法。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为充分认识颁布民法典的重要意义，深入宣传和贯彻实施民法典，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组织全街道中层以上领导干部参加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公职人员《民法典》专题讲座暨“把民法典请回家”系列活动启动仪式、民法典线上学习活动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等法治专题学习。据统计，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截至目前吉华街道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共开展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民法典</w:t>
      </w:r>
      <w:r>
        <w:rPr>
          <w:rFonts w:hint="eastAsia" w:ascii="仿宋_GB2312" w:hAnsi="仿宋_GB2312" w:eastAsia="仿宋_GB2312" w:cs="仿宋_GB2312"/>
          <w:sz w:val="32"/>
          <w:szCs w:val="32"/>
        </w:rPr>
        <w:t>大宣传活动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线上学法考试，组织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民法典</w:t>
      </w:r>
      <w:r>
        <w:rPr>
          <w:rFonts w:hint="eastAsia" w:ascii="仿宋_GB2312" w:hAnsi="仿宋_GB2312" w:eastAsia="仿宋_GB2312" w:cs="仿宋_GB2312"/>
          <w:sz w:val="32"/>
          <w:szCs w:val="32"/>
        </w:rPr>
        <w:t>讲座、行政执法风险等法治讲座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二是强化普法教育，推动法治文化建设。在落实“谁执法谁普法”的基础上，整合街道各部门的普法资源，提升大普法的联动效能，结合“安全生产、信访维稳、提升环境”三大重点工作任务开展了户外宣传活动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余场；开展法律进社区活动，印制居民学法口袋书发放给社区居民。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三是落实法律顾问制度。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通过招标引进三家律师事务所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10名律师及律师助理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组成法律服务团队，并为土地整备、综合执法、网格管理、安全监管等领域配备专项法律服务团队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，严把法律审核关，保障依法行政合法履职。细化街道各部门法律顾问的工作职责，完善考核工作指标定期评估服务成效，建立法律顾问互相协作的联动服务机制。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建立完善的规范性文件管理机制。</w:t>
      </w:r>
      <w:r>
        <w:rPr>
          <w:rFonts w:hint="eastAsia" w:ascii="仿宋_GB2312" w:hAnsi="微软雅黑" w:eastAsia="仿宋_GB2312"/>
          <w:sz w:val="32"/>
          <w:szCs w:val="32"/>
        </w:rPr>
        <w:t>严格执行意见征集、合法性审查、集体讨论、公示等程序，并由街道法制部门和法制员指导规范性文件制定，组织相关培训。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加大重大行政决策事项的监督力度。</w:t>
      </w:r>
      <w:r>
        <w:rPr>
          <w:rFonts w:hint="eastAsia" w:ascii="仿宋_GB2312" w:hAnsi="微软雅黑" w:eastAsia="仿宋_GB2312"/>
          <w:sz w:val="32"/>
          <w:szCs w:val="32"/>
        </w:rPr>
        <w:t>进一步明确街道重大行政决策事项范围，确保在重大行政决策中严格按照程序要求来执行。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（三）加强行政执法监督，提升行政执法案卷质量。</w:t>
      </w:r>
      <w:r>
        <w:rPr>
          <w:rFonts w:hint="eastAsia" w:ascii="仿宋_GB2312" w:hAnsi="微软雅黑" w:eastAsia="仿宋_GB2312"/>
          <w:sz w:val="32"/>
          <w:szCs w:val="32"/>
        </w:rPr>
        <w:t>开展经常性执法检查工作，扩展事前监督范围，落实重大行政执法决定法治审查制度，确保执法决定合法合规。健全执法公开公示制度，增加执法透明度。强化执法案卷评查工作，完善上级检查和街道自查工作机制，以查促改，不断总结分析案卷质量存在的问题及其原因，改进工作方法，促进案卷质量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（四）加强法律顾问管理，充分发挥好法律顾问作用。</w:t>
      </w:r>
      <w:r>
        <w:rPr>
          <w:rFonts w:hint="eastAsia" w:ascii="仿宋_GB2312" w:eastAsia="仿宋_GB2312"/>
          <w:sz w:val="32"/>
          <w:szCs w:val="32"/>
        </w:rPr>
        <w:t>统筹街道各部门法律顾问资源，强化评估考核工作，继续推进领导班子与街道法律顾问结对子制度，为街道领导行政决策和行政管理提供法律支持, 充分发挥法律顾问在矛盾纠纷化解、重大事项风险评估等方面的专业力量；协调好街道行政复议和行政诉讼工作，做好行政机关负责人出庭应诉工作，降低复议撤销及诉讼败诉风险。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（五）创新普法形式，突出重点对象。</w:t>
      </w:r>
      <w:r>
        <w:rPr>
          <w:rFonts w:hint="eastAsia" w:ascii="仿宋_GB2312" w:eastAsia="仿宋_GB2312"/>
          <w:sz w:val="32"/>
          <w:szCs w:val="32"/>
        </w:rPr>
        <w:t>夯实普法阵地，深入推进普法工作。坚持“谁执法谁普法”“谁管理谁普法”的普法工作责任制，严格制定和实施年度普法工作方案，确保分工明确、责任到人。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龙岗区吉华街道办事处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（联系人：王晨超；办公电话：28259231）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主动公开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sectPr>
      <w:headerReference r:id="rId3" w:type="first"/>
      <w:footerReference r:id="rId4" w:type="default"/>
      <w:pgSz w:w="11906" w:h="16838"/>
      <w:pgMar w:top="1984" w:right="1587" w:bottom="1984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4D4E5"/>
    <w:multiLevelType w:val="singleLevel"/>
    <w:tmpl w:val="5BF4D4E5"/>
    <w:lvl w:ilvl="0" w:tentative="0">
      <w:start w:val="4"/>
      <w:numFmt w:val="chineseCounting"/>
      <w:suff w:val="nothing"/>
      <w:lvlText w:val="（%1）"/>
      <w:lvlJc w:val="left"/>
    </w:lvl>
  </w:abstractNum>
  <w:abstractNum w:abstractNumId="1">
    <w:nsid w:val="5BF52A26"/>
    <w:multiLevelType w:val="singleLevel"/>
    <w:tmpl w:val="5BF52A26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C"/>
    <w:rsid w:val="000058BC"/>
    <w:rsid w:val="00055D1C"/>
    <w:rsid w:val="0006090F"/>
    <w:rsid w:val="000C5A09"/>
    <w:rsid w:val="00117C03"/>
    <w:rsid w:val="00190186"/>
    <w:rsid w:val="001C1976"/>
    <w:rsid w:val="001F51F9"/>
    <w:rsid w:val="0026771D"/>
    <w:rsid w:val="002A3457"/>
    <w:rsid w:val="003553C4"/>
    <w:rsid w:val="003D3CF9"/>
    <w:rsid w:val="003E5429"/>
    <w:rsid w:val="00416371"/>
    <w:rsid w:val="00614891"/>
    <w:rsid w:val="006C16C3"/>
    <w:rsid w:val="0071382C"/>
    <w:rsid w:val="00732111"/>
    <w:rsid w:val="007771EC"/>
    <w:rsid w:val="008158CB"/>
    <w:rsid w:val="008226F2"/>
    <w:rsid w:val="00876FD8"/>
    <w:rsid w:val="008E6B99"/>
    <w:rsid w:val="008F44FC"/>
    <w:rsid w:val="00956EEB"/>
    <w:rsid w:val="009F602C"/>
    <w:rsid w:val="00A338B5"/>
    <w:rsid w:val="00A36D32"/>
    <w:rsid w:val="00A66F64"/>
    <w:rsid w:val="00AD015C"/>
    <w:rsid w:val="00B23650"/>
    <w:rsid w:val="00B247DD"/>
    <w:rsid w:val="00B655B6"/>
    <w:rsid w:val="00B959D8"/>
    <w:rsid w:val="00BE1ED5"/>
    <w:rsid w:val="00C119B1"/>
    <w:rsid w:val="00C11D32"/>
    <w:rsid w:val="00C47FF6"/>
    <w:rsid w:val="00C50380"/>
    <w:rsid w:val="00C737DE"/>
    <w:rsid w:val="00C8162F"/>
    <w:rsid w:val="00C976A9"/>
    <w:rsid w:val="00CF53BF"/>
    <w:rsid w:val="00CF77F7"/>
    <w:rsid w:val="00D334C2"/>
    <w:rsid w:val="00D56FAD"/>
    <w:rsid w:val="00D6096E"/>
    <w:rsid w:val="00D83744"/>
    <w:rsid w:val="00DD2315"/>
    <w:rsid w:val="00DD65DC"/>
    <w:rsid w:val="00E478DA"/>
    <w:rsid w:val="00E63CBE"/>
    <w:rsid w:val="023317D0"/>
    <w:rsid w:val="03364CCA"/>
    <w:rsid w:val="066B2E07"/>
    <w:rsid w:val="0C3B7AAD"/>
    <w:rsid w:val="0D89744E"/>
    <w:rsid w:val="104B0C65"/>
    <w:rsid w:val="14111208"/>
    <w:rsid w:val="1709539F"/>
    <w:rsid w:val="17533A8A"/>
    <w:rsid w:val="17CE0376"/>
    <w:rsid w:val="194A64CF"/>
    <w:rsid w:val="194D0FA5"/>
    <w:rsid w:val="196F56B0"/>
    <w:rsid w:val="1A335D1D"/>
    <w:rsid w:val="1BC42ABD"/>
    <w:rsid w:val="1FCE1F07"/>
    <w:rsid w:val="21844D1E"/>
    <w:rsid w:val="21993F61"/>
    <w:rsid w:val="23C6615B"/>
    <w:rsid w:val="24FB6AD5"/>
    <w:rsid w:val="25480703"/>
    <w:rsid w:val="26021F7B"/>
    <w:rsid w:val="26EA62B8"/>
    <w:rsid w:val="2BB907B5"/>
    <w:rsid w:val="2E6D1640"/>
    <w:rsid w:val="2EF046C6"/>
    <w:rsid w:val="2F502156"/>
    <w:rsid w:val="304261A8"/>
    <w:rsid w:val="32092089"/>
    <w:rsid w:val="34630394"/>
    <w:rsid w:val="368018E4"/>
    <w:rsid w:val="3BC10262"/>
    <w:rsid w:val="3C49374B"/>
    <w:rsid w:val="3D621692"/>
    <w:rsid w:val="3E672F0A"/>
    <w:rsid w:val="3E880AE0"/>
    <w:rsid w:val="3F0E48C0"/>
    <w:rsid w:val="3F6C4C16"/>
    <w:rsid w:val="42470E23"/>
    <w:rsid w:val="42B128BB"/>
    <w:rsid w:val="43F7274E"/>
    <w:rsid w:val="4474066B"/>
    <w:rsid w:val="49D62686"/>
    <w:rsid w:val="4B6B0E82"/>
    <w:rsid w:val="4E257100"/>
    <w:rsid w:val="4FCA3502"/>
    <w:rsid w:val="53FD51EB"/>
    <w:rsid w:val="588A78F4"/>
    <w:rsid w:val="5947205F"/>
    <w:rsid w:val="5D215ABE"/>
    <w:rsid w:val="60B5339A"/>
    <w:rsid w:val="63573DC1"/>
    <w:rsid w:val="63591361"/>
    <w:rsid w:val="67253CDA"/>
    <w:rsid w:val="67D26D7F"/>
    <w:rsid w:val="6A6F4FFF"/>
    <w:rsid w:val="6A72394A"/>
    <w:rsid w:val="6AFB7874"/>
    <w:rsid w:val="6DAE2608"/>
    <w:rsid w:val="6E544B8F"/>
    <w:rsid w:val="6F2E335B"/>
    <w:rsid w:val="713A7CFB"/>
    <w:rsid w:val="728C5E23"/>
    <w:rsid w:val="730064B1"/>
    <w:rsid w:val="791B7DA5"/>
    <w:rsid w:val="79413A0B"/>
    <w:rsid w:val="7A1360F8"/>
    <w:rsid w:val="7B797668"/>
    <w:rsid w:val="7BB05075"/>
    <w:rsid w:val="7D161542"/>
    <w:rsid w:val="7FA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4"/>
    <w:qFormat/>
    <w:uiPriority w:val="0"/>
    <w:pPr>
      <w:autoSpaceDE w:val="0"/>
      <w:autoSpaceDN w:val="0"/>
      <w:adjustRightInd w:val="0"/>
      <w:spacing w:line="520" w:lineRule="exact"/>
      <w:ind w:firstLine="600" w:firstLineChars="200"/>
    </w:pPr>
    <w:rPr>
      <w:rFonts w:ascii="仿宋_GB2312" w:eastAsia="仿宋_GB2312"/>
      <w:sz w:val="30"/>
      <w:szCs w:val="30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3 Char"/>
    <w:basedOn w:val="9"/>
    <w:link w:val="6"/>
    <w:qFormat/>
    <w:uiPriority w:val="0"/>
    <w:rPr>
      <w:rFonts w:ascii="仿宋_GB2312" w:eastAsia="仿宋_GB2312"/>
      <w:sz w:val="30"/>
      <w:szCs w:val="30"/>
      <w:lang w:val="zh-CN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452</Words>
  <Characters>2577</Characters>
  <Lines>21</Lines>
  <Paragraphs>6</Paragraphs>
  <TotalTime>5</TotalTime>
  <ScaleCrop>false</ScaleCrop>
  <LinksUpToDate>false</LinksUpToDate>
  <CharactersWithSpaces>3023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2019-11-27T09:58:00Z</dcterms:created>
  <dc:creator>admin</dc:creator>
  <cp:lastModifiedBy>郑耿纯</cp:lastModifiedBy>
  <dcterms:modified xsi:type="dcterms:W3CDTF">2022-11-17T14:18:28Z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