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cs="宋体"/>
          <w:b/>
          <w:bCs/>
          <w:color w:val="auto"/>
          <w:sz w:val="44"/>
          <w:szCs w:val="44"/>
          <w:highlight w:val="none"/>
        </w:rPr>
      </w:pPr>
      <w:bookmarkStart w:id="0" w:name="_Hlk116207401"/>
      <w:r>
        <w:rPr>
          <w:rFonts w:hint="eastAsia" w:ascii="宋体" w:hAnsi="宋体" w:cs="宋体"/>
          <w:b/>
          <w:bCs/>
          <w:color w:val="auto"/>
          <w:sz w:val="44"/>
          <w:szCs w:val="44"/>
          <w:highlight w:val="none"/>
        </w:rPr>
        <w:t>龙岗区民办学校厕所改造工程结算审核</w:t>
      </w:r>
    </w:p>
    <w:p>
      <w:pPr>
        <w:spacing w:line="600" w:lineRule="exact"/>
        <w:jc w:val="center"/>
        <w:rPr>
          <w:rFonts w:ascii="宋体" w:hAnsi="宋体" w:cs="宋体"/>
          <w:color w:val="auto"/>
          <w:sz w:val="44"/>
          <w:szCs w:val="44"/>
          <w:highlight w:val="none"/>
        </w:rPr>
      </w:pPr>
      <w:r>
        <w:rPr>
          <w:rFonts w:hint="eastAsia" w:ascii="宋体" w:hAnsi="宋体" w:cs="宋体"/>
          <w:b/>
          <w:bCs/>
          <w:color w:val="auto"/>
          <w:sz w:val="44"/>
          <w:szCs w:val="44"/>
          <w:highlight w:val="none"/>
        </w:rPr>
        <w:t>服务项目</w:t>
      </w:r>
      <w:bookmarkEnd w:id="0"/>
      <w:r>
        <w:rPr>
          <w:rFonts w:hint="eastAsia" w:ascii="宋体" w:hAnsi="宋体" w:cs="宋体"/>
          <w:b/>
          <w:bCs/>
          <w:color w:val="auto"/>
          <w:sz w:val="44"/>
          <w:szCs w:val="44"/>
          <w:highlight w:val="none"/>
        </w:rPr>
        <w:t>内部招标公告</w:t>
      </w:r>
    </w:p>
    <w:p>
      <w:pPr>
        <w:spacing w:line="560" w:lineRule="exact"/>
        <w:rPr>
          <w:rFonts w:ascii="仿宋" w:hAnsi="仿宋" w:eastAsia="仿宋" w:cs="仿宋"/>
          <w:color w:val="auto"/>
          <w:sz w:val="32"/>
          <w:szCs w:val="32"/>
          <w:highlight w:val="none"/>
        </w:rPr>
      </w:pPr>
    </w:p>
    <w:p>
      <w:pPr>
        <w:spacing w:line="560" w:lineRule="exac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各投标人：</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据《中华人民共和国政府采购法》《中华人民共和国政府采购法实施条例》《深圳经济特区政府采购条例》《深圳经济特区政府采购条例实施细则》等相关规定，因业务需要，龙岗区教育局“龙岗区民办学校厕所改造工程结算审核服务项目”实行内部招标采购，现就本项目的有关采购招标事项进行公告。</w:t>
      </w:r>
    </w:p>
    <w:p>
      <w:pPr>
        <w:wordWrap w:val="0"/>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请有意向的投标人，按照本项目的《采购需求书》（附件1）有关要求编制投标文件，</w:t>
      </w:r>
      <w:r>
        <w:rPr>
          <w:rFonts w:hint="eastAsia" w:ascii="仿宋_GB2312" w:hAnsi="仿宋_GB2312" w:eastAsia="仿宋_GB2312" w:cs="仿宋_GB2312"/>
          <w:bCs/>
          <w:color w:val="auto"/>
          <w:sz w:val="32"/>
          <w:szCs w:val="32"/>
          <w:highlight w:val="none"/>
        </w:rPr>
        <w:t>于2022年1</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3</w:t>
      </w:r>
      <w:r>
        <w:rPr>
          <w:rFonts w:hint="eastAsia" w:ascii="仿宋_GB2312" w:hAnsi="仿宋_GB2312" w:eastAsia="仿宋_GB2312" w:cs="仿宋_GB2312"/>
          <w:bCs/>
          <w:color w:val="auto"/>
          <w:sz w:val="32"/>
          <w:szCs w:val="32"/>
          <w:highlight w:val="none"/>
        </w:rPr>
        <w:t>日15:00</w:t>
      </w:r>
      <w:r>
        <w:rPr>
          <w:rFonts w:hint="eastAsia" w:ascii="仿宋_GB2312" w:hAnsi="仿宋_GB2312" w:eastAsia="仿宋_GB2312" w:cs="仿宋_GB2312"/>
          <w:bCs/>
          <w:color w:val="auto"/>
          <w:kern w:val="0"/>
          <w:sz w:val="32"/>
          <w:szCs w:val="32"/>
          <w:highlight w:val="none"/>
          <w:lang w:val="en-US" w:eastAsia="zh-CN"/>
        </w:rPr>
        <w:t>前</w:t>
      </w:r>
      <w:r>
        <w:rPr>
          <w:rFonts w:hint="eastAsia" w:ascii="仿宋_GB2312" w:hAnsi="仿宋_GB2312" w:eastAsia="仿宋_GB2312" w:cs="仿宋_GB2312"/>
          <w:bCs/>
          <w:color w:val="auto"/>
          <w:sz w:val="32"/>
          <w:szCs w:val="32"/>
          <w:highlight w:val="none"/>
        </w:rPr>
        <w:t>到深圳市龙岗区教育局</w:t>
      </w:r>
      <w:r>
        <w:rPr>
          <w:rFonts w:hint="eastAsia" w:ascii="仿宋_GB2312" w:hAnsi="仿宋_GB2312" w:eastAsia="仿宋_GB2312" w:cs="仿宋_GB2312"/>
          <w:bCs/>
          <w:color w:val="auto"/>
          <w:sz w:val="32"/>
          <w:szCs w:val="32"/>
          <w:highlight w:val="none"/>
          <w:lang w:val="en-US" w:eastAsia="zh-CN"/>
        </w:rPr>
        <w:t>四楼</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val="en-US" w:eastAsia="zh-CN"/>
        </w:rPr>
        <w:t>422会议室</w:t>
      </w:r>
      <w:r>
        <w:rPr>
          <w:rFonts w:hint="eastAsia" w:ascii="仿宋_GB2312" w:hAnsi="仿宋_GB2312" w:eastAsia="仿宋_GB2312" w:cs="仿宋_GB2312"/>
          <w:bCs/>
          <w:color w:val="auto"/>
          <w:sz w:val="32"/>
          <w:szCs w:val="32"/>
          <w:highlight w:val="none"/>
        </w:rPr>
        <w:t>），递交投标文件和有关材料</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并</w:t>
      </w:r>
      <w:r>
        <w:rPr>
          <w:rFonts w:hint="eastAsia" w:ascii="仿宋_GB2312" w:hAnsi="仿宋_GB2312" w:eastAsia="仿宋_GB2312" w:cs="仿宋_GB2312"/>
          <w:bCs/>
          <w:color w:val="auto"/>
          <w:kern w:val="0"/>
          <w:sz w:val="32"/>
          <w:szCs w:val="32"/>
          <w:highlight w:val="none"/>
        </w:rPr>
        <w:t>派授权代表出席开标会议</w:t>
      </w:r>
      <w:r>
        <w:rPr>
          <w:rFonts w:hint="eastAsia" w:ascii="仿宋_GB2312" w:hAnsi="仿宋_GB2312" w:eastAsia="仿宋_GB2312" w:cs="仿宋_GB2312"/>
          <w:bCs/>
          <w:color w:val="auto"/>
          <w:kern w:val="0"/>
          <w:sz w:val="32"/>
          <w:szCs w:val="32"/>
          <w:highlight w:val="none"/>
          <w:lang w:eastAsia="zh-CN"/>
        </w:rPr>
        <w:t>。</w:t>
      </w:r>
    </w:p>
    <w:p>
      <w:pPr>
        <w:wordWrap w:val="0"/>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附件</w:t>
      </w:r>
      <w:r>
        <w:rPr>
          <w:rFonts w:hint="eastAsia" w:ascii="仿宋_GB2312" w:hAnsi="仿宋_GB2312" w:eastAsia="仿宋_GB2312" w:cs="仿宋_GB2312"/>
          <w:bCs/>
          <w:color w:val="auto"/>
          <w:kern w:val="0"/>
          <w:sz w:val="32"/>
          <w:szCs w:val="32"/>
          <w:highlight w:val="none"/>
        </w:rPr>
        <w:t>：1.</w:t>
      </w:r>
      <w:r>
        <w:rPr>
          <w:rFonts w:hint="eastAsia" w:ascii="仿宋_GB2312" w:hAnsi="仿宋_GB2312" w:eastAsia="仿宋_GB2312" w:cs="仿宋_GB2312"/>
          <w:bCs/>
          <w:color w:val="auto"/>
          <w:sz w:val="32"/>
          <w:szCs w:val="32"/>
          <w:highlight w:val="none"/>
        </w:rPr>
        <w:t>采购需求书</w:t>
      </w:r>
    </w:p>
    <w:p>
      <w:pPr>
        <w:spacing w:line="560" w:lineRule="exact"/>
        <w:ind w:left="1798" w:leftChars="704" w:hanging="320" w:hangingChars="100"/>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2.政府采购投标及履约承诺函</w:t>
      </w:r>
    </w:p>
    <w:p>
      <w:pPr>
        <w:spacing w:line="560" w:lineRule="exact"/>
        <w:ind w:left="1798" w:leftChars="704" w:hanging="320" w:hangingChars="100"/>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3.开标一览表</w:t>
      </w:r>
    </w:p>
    <w:p>
      <w:pPr>
        <w:spacing w:line="560" w:lineRule="exact"/>
        <w:ind w:left="1798" w:leftChars="704" w:hanging="320" w:hangingChars="100"/>
        <w:jc w:val="lef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rPr>
        <w:t>4.须回避的造价咨询公司名单</w:t>
      </w:r>
    </w:p>
    <w:p>
      <w:pPr>
        <w:pStyle w:val="2"/>
        <w:rPr>
          <w:rFonts w:hint="eastAsia" w:ascii="仿宋_GB2312" w:hAnsi="仿宋_GB2312" w:eastAsia="仿宋_GB2312" w:cs="仿宋_GB2312"/>
          <w:bCs/>
          <w:color w:val="auto"/>
          <w:kern w:val="0"/>
          <w:sz w:val="32"/>
          <w:szCs w:val="32"/>
          <w:highlight w:val="none"/>
          <w:lang w:val="en-US" w:eastAsia="zh-CN" w:bidi="ar-SA"/>
        </w:rPr>
      </w:pP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bCs/>
          <w:color w:val="auto"/>
          <w:kern w:val="0"/>
          <w:sz w:val="32"/>
          <w:szCs w:val="32"/>
          <w:highlight w:val="none"/>
          <w:lang w:val="en-US" w:eastAsia="zh-CN" w:bidi="ar-SA"/>
        </w:rPr>
        <w:t xml:space="preserve">  5.完成时间承诺函</w:t>
      </w:r>
    </w:p>
    <w:p>
      <w:pPr>
        <w:spacing w:line="560" w:lineRule="exact"/>
        <w:jc w:val="right"/>
        <w:rPr>
          <w:rFonts w:hint="eastAsia" w:ascii="仿宋_GB2312" w:hAnsi="仿宋_GB2312" w:eastAsia="仿宋_GB2312" w:cs="仿宋_GB2312"/>
          <w:bCs/>
          <w:color w:val="auto"/>
          <w:sz w:val="32"/>
          <w:szCs w:val="32"/>
          <w:highlight w:val="none"/>
        </w:rPr>
      </w:pPr>
    </w:p>
    <w:p>
      <w:pPr>
        <w:spacing w:line="560" w:lineRule="exact"/>
        <w:ind w:left="6080" w:hanging="6080" w:hangingChars="1900"/>
        <w:jc w:val="left"/>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龙岗区教育局 </w:t>
      </w:r>
    </w:p>
    <w:p>
      <w:pPr>
        <w:spacing w:line="600" w:lineRule="exact"/>
        <w:jc w:val="center"/>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 xml:space="preserve">                        2022年1</w:t>
      </w:r>
      <w:r>
        <w:rPr>
          <w:rFonts w:hint="eastAsia" w:ascii="仿宋_GB2312" w:hAnsi="仿宋_GB2312" w:eastAsia="仿宋_GB2312" w:cs="仿宋_GB2312"/>
          <w:bCs/>
          <w:color w:val="auto"/>
          <w:sz w:val="32"/>
          <w:szCs w:val="32"/>
          <w:highlight w:val="none"/>
          <w:lang w:val="en-US" w:eastAsia="zh-CN"/>
        </w:rPr>
        <w:t>0</w:t>
      </w:r>
      <w:r>
        <w:rPr>
          <w:rFonts w:hint="eastAsia" w:ascii="仿宋_GB2312" w:hAnsi="仿宋_GB2312" w:eastAsia="仿宋_GB2312" w:cs="仿宋_GB2312"/>
          <w:bCs/>
          <w:color w:val="auto"/>
          <w:sz w:val="32"/>
          <w:szCs w:val="32"/>
          <w:highlight w:val="none"/>
        </w:rPr>
        <w:t>月</w:t>
      </w:r>
      <w:r>
        <w:rPr>
          <w:rFonts w:hint="eastAsia" w:ascii="仿宋_GB2312" w:hAnsi="仿宋_GB2312" w:eastAsia="仿宋_GB2312" w:cs="仿宋_GB2312"/>
          <w:bCs/>
          <w:color w:val="auto"/>
          <w:sz w:val="32"/>
          <w:szCs w:val="32"/>
          <w:highlight w:val="none"/>
          <w:lang w:val="en-US" w:eastAsia="zh-CN"/>
        </w:rPr>
        <w:t>31</w:t>
      </w:r>
      <w:r>
        <w:rPr>
          <w:rFonts w:hint="eastAsia" w:ascii="仿宋_GB2312" w:hAnsi="仿宋_GB2312" w:eastAsia="仿宋_GB2312" w:cs="仿宋_GB2312"/>
          <w:bCs/>
          <w:color w:val="auto"/>
          <w:sz w:val="32"/>
          <w:szCs w:val="32"/>
          <w:highlight w:val="none"/>
        </w:rPr>
        <w:t>日</w:t>
      </w:r>
    </w:p>
    <w:p>
      <w:pPr>
        <w:pStyle w:val="2"/>
      </w:pPr>
    </w:p>
    <w:p>
      <w:pPr>
        <w:spacing w:line="600" w:lineRule="exact"/>
        <w:jc w:val="center"/>
        <w:rPr>
          <w:rFonts w:ascii="仿宋" w:hAnsi="仿宋" w:eastAsia="仿宋" w:cs="仿宋"/>
          <w:bCs/>
          <w:color w:val="auto"/>
          <w:sz w:val="32"/>
          <w:szCs w:val="32"/>
          <w:highlight w:val="none"/>
        </w:rPr>
      </w:pPr>
    </w:p>
    <w:p>
      <w:pPr>
        <w:spacing w:line="600" w:lineRule="exact"/>
        <w:jc w:val="left"/>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附件1：</w:t>
      </w:r>
    </w:p>
    <w:p>
      <w:pPr>
        <w:spacing w:line="600" w:lineRule="exact"/>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龙岗区民办学校厕所改造工程结算审核</w:t>
      </w:r>
    </w:p>
    <w:p>
      <w:pPr>
        <w:spacing w:line="600" w:lineRule="exact"/>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服务采购需求书</w:t>
      </w:r>
    </w:p>
    <w:p>
      <w:pPr>
        <w:pStyle w:val="20"/>
        <w:rPr>
          <w:color w:val="auto"/>
          <w:highlight w:val="none"/>
        </w:rPr>
      </w:pPr>
      <w:r>
        <w:rPr>
          <w:rFonts w:hint="eastAsia"/>
          <w:color w:val="auto"/>
          <w:highlight w:val="none"/>
        </w:rPr>
        <w:t>一、项目概况</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为保证高效、有序开展深圳市龙岗区27所民办学校厕所改造工程的项目结算审核工作，规范工作程序，拟委托第三方公司对该项目进行工程结算审核工作。</w:t>
      </w:r>
    </w:p>
    <w:p>
      <w:pPr>
        <w:pStyle w:val="20"/>
        <w:rPr>
          <w:color w:val="auto"/>
          <w:highlight w:val="none"/>
        </w:rPr>
      </w:pPr>
      <w:r>
        <w:rPr>
          <w:rFonts w:hint="eastAsia"/>
          <w:color w:val="auto"/>
          <w:highlight w:val="none"/>
        </w:rPr>
        <w:t>二、预算控制金额及付款方式</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1.服务费用控制价（包干价）：人民币24万元。</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此费用包括开展业务所需的服务实施费、人员经费、资料费、差旅费、食宿费、税费等所有费用，投标人报价超预算控制金额作为无效应标处理；投标人在中标后不得以任何理由增加其他费用。</w:t>
      </w:r>
    </w:p>
    <w:p>
      <w:pPr>
        <w:spacing w:line="600" w:lineRule="exact"/>
        <w:ind w:firstLine="470" w:firstLineChars="147"/>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 付款方式</w:t>
      </w:r>
    </w:p>
    <w:p>
      <w:pPr>
        <w:spacing w:line="600" w:lineRule="exact"/>
        <w:ind w:firstLine="640" w:firstLineChars="20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sz w:val="32"/>
          <w:szCs w:val="32"/>
          <w:highlight w:val="none"/>
        </w:rPr>
        <w:t>按深圳市龙岗区财政局有关规定执行。</w:t>
      </w:r>
    </w:p>
    <w:p>
      <w:pPr>
        <w:pStyle w:val="20"/>
        <w:rPr>
          <w:rFonts w:hint="eastAsia"/>
          <w:color w:val="auto"/>
          <w:highlight w:val="none"/>
        </w:rPr>
      </w:pPr>
      <w:r>
        <w:rPr>
          <w:rFonts w:hint="eastAsia"/>
          <w:color w:val="auto"/>
          <w:highlight w:val="none"/>
        </w:rPr>
        <w:t>三、项目需求</w:t>
      </w:r>
    </w:p>
    <w:p>
      <w:pPr>
        <w:spacing w:line="600" w:lineRule="exact"/>
        <w:ind w:firstLine="645"/>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1.</w:t>
      </w:r>
      <w:r>
        <w:rPr>
          <w:rFonts w:hint="eastAsia" w:ascii="仿宋" w:hAnsi="仿宋" w:eastAsia="仿宋" w:cs="仿宋"/>
          <w:b/>
          <w:bCs/>
          <w:color w:val="auto"/>
          <w:sz w:val="32"/>
          <w:szCs w:val="32"/>
          <w:highlight w:val="none"/>
          <w:lang w:val="en-US" w:eastAsia="zh-CN"/>
        </w:rPr>
        <w:t>具体</w:t>
      </w:r>
      <w:r>
        <w:rPr>
          <w:rFonts w:hint="eastAsia" w:ascii="仿宋" w:hAnsi="仿宋" w:eastAsia="仿宋" w:cs="仿宋"/>
          <w:b/>
          <w:bCs/>
          <w:color w:val="auto"/>
          <w:sz w:val="32"/>
          <w:szCs w:val="32"/>
          <w:highlight w:val="none"/>
        </w:rPr>
        <w:t>审核</w:t>
      </w:r>
      <w:r>
        <w:rPr>
          <w:rFonts w:hint="eastAsia" w:ascii="仿宋" w:hAnsi="仿宋" w:eastAsia="仿宋" w:cs="仿宋"/>
          <w:b/>
          <w:bCs/>
          <w:color w:val="auto"/>
          <w:sz w:val="32"/>
          <w:szCs w:val="32"/>
          <w:highlight w:val="none"/>
          <w:lang w:val="en-US" w:eastAsia="zh-CN"/>
        </w:rPr>
        <w:t>范围</w:t>
      </w:r>
    </w:p>
    <w:p>
      <w:pPr>
        <w:spacing w:line="600" w:lineRule="exact"/>
        <w:ind w:firstLine="640" w:firstLineChars="200"/>
        <w:rPr>
          <w:rFonts w:hint="eastAsia" w:ascii="仿宋_GB2312" w:hAnsi="仿宋_GB2312" w:eastAsia="仿宋_GB2312" w:cs="仿宋_GB2312"/>
          <w:bCs/>
          <w:color w:val="auto"/>
          <w:kern w:val="0"/>
          <w:sz w:val="32"/>
          <w:szCs w:val="32"/>
          <w:highlight w:val="none"/>
          <w:lang w:val="en-US" w:eastAsia="zh-CN"/>
        </w:rPr>
      </w:pPr>
      <w:r>
        <w:rPr>
          <w:rFonts w:hint="eastAsia" w:ascii="仿宋_GB2312" w:hAnsi="仿宋_GB2312" w:eastAsia="仿宋_GB2312" w:cs="仿宋_GB2312"/>
          <w:bCs/>
          <w:color w:val="auto"/>
          <w:kern w:val="0"/>
          <w:sz w:val="32"/>
          <w:szCs w:val="32"/>
          <w:highlight w:val="none"/>
          <w:lang w:val="en-US" w:eastAsia="zh-CN"/>
        </w:rPr>
        <w:t>对</w:t>
      </w:r>
      <w:r>
        <w:rPr>
          <w:rFonts w:hint="eastAsia" w:ascii="仿宋_GB2312" w:hAnsi="仿宋_GB2312" w:eastAsia="仿宋_GB2312" w:cs="仿宋_GB2312"/>
          <w:bCs/>
          <w:color w:val="auto"/>
          <w:kern w:val="0"/>
          <w:sz w:val="32"/>
          <w:szCs w:val="32"/>
          <w:highlight w:val="none"/>
        </w:rPr>
        <w:t>中兴小学等27所民办学校的厕所改造工程</w:t>
      </w:r>
      <w:r>
        <w:rPr>
          <w:rFonts w:hint="eastAsia" w:ascii="仿宋_GB2312" w:hAnsi="仿宋_GB2312" w:eastAsia="仿宋_GB2312" w:cs="仿宋_GB2312"/>
          <w:bCs/>
          <w:color w:val="auto"/>
          <w:kern w:val="0"/>
          <w:sz w:val="32"/>
          <w:szCs w:val="32"/>
          <w:highlight w:val="none"/>
          <w:lang w:val="en-US" w:eastAsia="zh-CN"/>
        </w:rPr>
        <w:t>进行工程</w:t>
      </w:r>
      <w:r>
        <w:rPr>
          <w:rFonts w:hint="eastAsia" w:ascii="仿宋_GB2312" w:hAnsi="仿宋_GB2312" w:eastAsia="仿宋_GB2312" w:cs="仿宋_GB2312"/>
          <w:bCs/>
          <w:color w:val="auto"/>
          <w:kern w:val="0"/>
          <w:sz w:val="32"/>
          <w:szCs w:val="32"/>
          <w:highlight w:val="none"/>
        </w:rPr>
        <w:t>资料</w:t>
      </w:r>
      <w:r>
        <w:rPr>
          <w:rFonts w:hint="eastAsia" w:ascii="仿宋_GB2312" w:hAnsi="仿宋_GB2312" w:eastAsia="仿宋_GB2312" w:cs="仿宋_GB2312"/>
          <w:bCs/>
          <w:color w:val="auto"/>
          <w:kern w:val="0"/>
          <w:sz w:val="32"/>
          <w:szCs w:val="32"/>
          <w:highlight w:val="none"/>
          <w:lang w:val="en-US" w:eastAsia="zh-CN"/>
        </w:rPr>
        <w:t>审核</w:t>
      </w:r>
      <w:r>
        <w:rPr>
          <w:rFonts w:hint="eastAsia" w:ascii="仿宋_GB2312" w:hAnsi="仿宋_GB2312" w:eastAsia="仿宋_GB2312" w:cs="仿宋_GB2312"/>
          <w:bCs/>
          <w:color w:val="auto"/>
          <w:kern w:val="0"/>
          <w:sz w:val="32"/>
          <w:szCs w:val="32"/>
          <w:highlight w:val="none"/>
        </w:rPr>
        <w:t>，实地</w:t>
      </w:r>
      <w:r>
        <w:rPr>
          <w:rFonts w:hint="eastAsia" w:ascii="仿宋_GB2312" w:hAnsi="仿宋_GB2312" w:eastAsia="仿宋_GB2312" w:cs="仿宋_GB2312"/>
          <w:bCs/>
          <w:color w:val="auto"/>
          <w:kern w:val="0"/>
          <w:sz w:val="32"/>
          <w:szCs w:val="32"/>
          <w:highlight w:val="none"/>
          <w:lang w:val="en-US" w:eastAsia="zh-CN"/>
        </w:rPr>
        <w:t>现场</w:t>
      </w:r>
      <w:r>
        <w:rPr>
          <w:rFonts w:hint="eastAsia" w:ascii="仿宋_GB2312" w:hAnsi="仿宋_GB2312" w:eastAsia="仿宋_GB2312" w:cs="仿宋_GB2312"/>
          <w:bCs/>
          <w:color w:val="auto"/>
          <w:kern w:val="0"/>
          <w:sz w:val="32"/>
          <w:szCs w:val="32"/>
          <w:highlight w:val="none"/>
        </w:rPr>
        <w:t>复核</w:t>
      </w:r>
      <w:r>
        <w:rPr>
          <w:rFonts w:hint="eastAsia" w:ascii="仿宋_GB2312" w:hAnsi="仿宋_GB2312" w:eastAsia="仿宋_GB2312" w:cs="仿宋_GB2312"/>
          <w:bCs/>
          <w:color w:val="auto"/>
          <w:kern w:val="0"/>
          <w:sz w:val="32"/>
          <w:szCs w:val="32"/>
          <w:highlight w:val="none"/>
          <w:lang w:val="en-US" w:eastAsia="zh-CN"/>
        </w:rPr>
        <w:t>后</w:t>
      </w:r>
      <w:r>
        <w:rPr>
          <w:rFonts w:hint="eastAsia" w:ascii="仿宋_GB2312" w:hAnsi="仿宋_GB2312" w:eastAsia="仿宋_GB2312" w:cs="仿宋_GB2312"/>
          <w:bCs/>
          <w:color w:val="auto"/>
          <w:kern w:val="0"/>
          <w:sz w:val="32"/>
          <w:szCs w:val="32"/>
          <w:highlight w:val="none"/>
        </w:rPr>
        <w:t>出具工程结算审核书</w:t>
      </w:r>
      <w:r>
        <w:rPr>
          <w:rFonts w:hint="eastAsia" w:ascii="仿宋_GB2312" w:hAnsi="仿宋_GB2312" w:eastAsia="仿宋_GB2312" w:cs="仿宋_GB2312"/>
          <w:bCs/>
          <w:color w:val="auto"/>
          <w:kern w:val="0"/>
          <w:sz w:val="32"/>
          <w:szCs w:val="32"/>
          <w:highlight w:val="none"/>
          <w:lang w:eastAsia="zh-CN"/>
        </w:rPr>
        <w:t>。</w:t>
      </w:r>
      <w:r>
        <w:rPr>
          <w:rFonts w:hint="eastAsia" w:ascii="仿宋_GB2312" w:hAnsi="仿宋_GB2312" w:eastAsia="仿宋_GB2312" w:cs="仿宋_GB2312"/>
          <w:bCs/>
          <w:color w:val="auto"/>
          <w:kern w:val="0"/>
          <w:sz w:val="32"/>
          <w:szCs w:val="32"/>
          <w:highlight w:val="none"/>
        </w:rPr>
        <w:t>27所民办学校厕所升级改造工程申报造价</w:t>
      </w:r>
      <w:r>
        <w:rPr>
          <w:rFonts w:hint="eastAsia" w:ascii="仿宋_GB2312" w:hAnsi="仿宋_GB2312" w:eastAsia="仿宋_GB2312" w:cs="仿宋_GB2312"/>
          <w:bCs/>
          <w:color w:val="auto"/>
          <w:kern w:val="0"/>
          <w:sz w:val="32"/>
          <w:szCs w:val="32"/>
          <w:highlight w:val="none"/>
          <w:lang w:val="en-US" w:eastAsia="zh-CN"/>
        </w:rPr>
        <w:t>总</w:t>
      </w:r>
      <w:r>
        <w:rPr>
          <w:rFonts w:hint="eastAsia" w:ascii="仿宋_GB2312" w:hAnsi="仿宋_GB2312" w:eastAsia="仿宋_GB2312" w:cs="仿宋_GB2312"/>
          <w:bCs/>
          <w:color w:val="auto"/>
          <w:kern w:val="0"/>
          <w:sz w:val="32"/>
          <w:szCs w:val="32"/>
          <w:highlight w:val="none"/>
        </w:rPr>
        <w:t>金额为5886.66万元。</w:t>
      </w:r>
      <w:r>
        <w:rPr>
          <w:rFonts w:hint="eastAsia" w:ascii="仿宋_GB2312" w:hAnsi="仿宋_GB2312" w:eastAsia="仿宋_GB2312" w:cs="仿宋_GB2312"/>
          <w:bCs/>
          <w:color w:val="auto"/>
          <w:kern w:val="0"/>
          <w:sz w:val="32"/>
          <w:szCs w:val="32"/>
          <w:highlight w:val="none"/>
          <w:lang w:val="en-US" w:eastAsia="zh-CN"/>
        </w:rPr>
        <w:t>具体如下：</w:t>
      </w:r>
    </w:p>
    <w:tbl>
      <w:tblPr>
        <w:tblStyle w:val="12"/>
        <w:tblW w:w="8233" w:type="dxa"/>
        <w:tblInd w:w="91" w:type="dxa"/>
        <w:tblLayout w:type="fixed"/>
        <w:tblCellMar>
          <w:top w:w="0" w:type="dxa"/>
          <w:left w:w="108" w:type="dxa"/>
          <w:bottom w:w="0" w:type="dxa"/>
          <w:right w:w="108" w:type="dxa"/>
        </w:tblCellMar>
      </w:tblPr>
      <w:tblGrid>
        <w:gridCol w:w="1080"/>
        <w:gridCol w:w="2730"/>
        <w:gridCol w:w="4423"/>
      </w:tblGrid>
      <w:tr>
        <w:tblPrEx>
          <w:tblCellMar>
            <w:top w:w="0" w:type="dxa"/>
            <w:left w:w="108" w:type="dxa"/>
            <w:bottom w:w="0" w:type="dxa"/>
            <w:right w:w="108" w:type="dxa"/>
          </w:tblCellMar>
        </w:tblPrEx>
        <w:trPr>
          <w:trHeight w:val="584" w:hRule="atLeast"/>
          <w:tblHeader/>
        </w:trPr>
        <w:tc>
          <w:tcPr>
            <w:tcW w:w="1080" w:type="dxa"/>
            <w:tcBorders>
              <w:top w:val="single" w:color="000000" w:sz="8" w:space="0"/>
              <w:left w:val="single" w:color="000000" w:sz="8" w:space="0"/>
              <w:bottom w:val="single" w:color="000000" w:sz="8" w:space="0"/>
              <w:right w:val="single" w:color="000000" w:sz="8" w:space="0"/>
            </w:tcBorders>
            <w:shd w:val="clear" w:color="auto" w:fill="DEEAF6" w:themeFill="accent1" w:themeFillTint="33"/>
            <w:vAlign w:val="center"/>
          </w:tcPr>
          <w:p>
            <w:pPr>
              <w:widowControl/>
              <w:jc w:val="center"/>
              <w:textAlignment w:val="center"/>
              <w:rPr>
                <w:rFonts w:ascii="黑体" w:hAnsi="黑体" w:eastAsia="黑体" w:cs="宋体"/>
                <w:color w:val="auto"/>
                <w:sz w:val="24"/>
                <w:highlight w:val="none"/>
              </w:rPr>
            </w:pPr>
            <w:r>
              <w:rPr>
                <w:rFonts w:hint="eastAsia" w:ascii="黑体" w:hAnsi="黑体" w:eastAsia="黑体" w:cs="宋体"/>
                <w:color w:val="auto"/>
                <w:kern w:val="0"/>
                <w:sz w:val="24"/>
                <w:highlight w:val="none"/>
                <w:lang w:bidi="ar"/>
              </w:rPr>
              <w:t>序号</w:t>
            </w:r>
          </w:p>
        </w:tc>
        <w:tc>
          <w:tcPr>
            <w:tcW w:w="2730" w:type="dxa"/>
            <w:tcBorders>
              <w:top w:val="single" w:color="000000" w:sz="8" w:space="0"/>
              <w:left w:val="nil"/>
              <w:bottom w:val="single" w:color="000000" w:sz="8" w:space="0"/>
              <w:right w:val="single" w:color="000000" w:sz="8" w:space="0"/>
            </w:tcBorders>
            <w:shd w:val="clear" w:color="auto" w:fill="DEEAF6" w:themeFill="accent1" w:themeFillTint="33"/>
            <w:vAlign w:val="center"/>
          </w:tcPr>
          <w:p>
            <w:pPr>
              <w:widowControl/>
              <w:jc w:val="center"/>
              <w:textAlignment w:val="center"/>
              <w:rPr>
                <w:rFonts w:ascii="黑体" w:hAnsi="黑体" w:eastAsia="黑体" w:cs="宋体"/>
                <w:color w:val="auto"/>
                <w:sz w:val="24"/>
                <w:highlight w:val="none"/>
              </w:rPr>
            </w:pPr>
            <w:r>
              <w:rPr>
                <w:rFonts w:hint="eastAsia" w:ascii="黑体" w:hAnsi="黑体" w:eastAsia="黑体" w:cs="宋体"/>
                <w:color w:val="auto"/>
                <w:kern w:val="0"/>
                <w:sz w:val="24"/>
                <w:highlight w:val="none"/>
                <w:lang w:bidi="ar"/>
              </w:rPr>
              <w:t>学校名称</w:t>
            </w:r>
          </w:p>
        </w:tc>
        <w:tc>
          <w:tcPr>
            <w:tcW w:w="4423" w:type="dxa"/>
            <w:tcBorders>
              <w:top w:val="single" w:color="000000" w:sz="8" w:space="0"/>
              <w:left w:val="nil"/>
              <w:bottom w:val="single" w:color="000000" w:sz="8" w:space="0"/>
              <w:right w:val="single" w:color="000000" w:sz="8" w:space="0"/>
            </w:tcBorders>
            <w:shd w:val="clear" w:color="auto" w:fill="DEEAF6" w:themeFill="accent1" w:themeFillTint="33"/>
            <w:vAlign w:val="center"/>
          </w:tcPr>
          <w:p>
            <w:pPr>
              <w:widowControl/>
              <w:jc w:val="center"/>
              <w:textAlignment w:val="center"/>
              <w:rPr>
                <w:rFonts w:ascii="黑体" w:hAnsi="黑体" w:eastAsia="黑体" w:cs="宋体"/>
                <w:color w:val="auto"/>
                <w:sz w:val="24"/>
                <w:highlight w:val="none"/>
              </w:rPr>
            </w:pPr>
            <w:r>
              <w:rPr>
                <w:rFonts w:hint="eastAsia" w:ascii="黑体" w:hAnsi="黑体" w:eastAsia="黑体" w:cs="宋体"/>
                <w:color w:val="auto"/>
                <w:kern w:val="0"/>
                <w:sz w:val="24"/>
                <w:highlight w:val="none"/>
                <w:lang w:bidi="ar"/>
              </w:rPr>
              <w:t>报送金额（单位：万元）</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中兴小学</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140.9</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平南学校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222.03</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科城实验学校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533.34</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华升学校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322.8</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5</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龙湖学校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106.02</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6</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华德学校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437.94</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7</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融美学校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366.99</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8</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龙鹏小学</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99.08</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9</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惠民小学</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116.33</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10</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嘉联学校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359.94</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11</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爱文学校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99.86</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12</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康艺学校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365.57</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13</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育英小学</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184.3</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14</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智民实验学校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452.23</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15</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兴泰实验学校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422.12</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16</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南芳学校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91.52</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17</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良安田小学</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63.39</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18</w:t>
            </w:r>
          </w:p>
        </w:tc>
        <w:tc>
          <w:tcPr>
            <w:tcW w:w="2730" w:type="dxa"/>
            <w:tcBorders>
              <w:top w:val="nil"/>
              <w:left w:val="nil"/>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才德小学</w:t>
            </w:r>
          </w:p>
        </w:tc>
        <w:tc>
          <w:tcPr>
            <w:tcW w:w="4423" w:type="dxa"/>
            <w:tcBorders>
              <w:top w:val="nil"/>
              <w:left w:val="nil"/>
              <w:bottom w:val="single" w:color="auto" w:sz="4"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44.38</w:t>
            </w:r>
          </w:p>
        </w:tc>
      </w:tr>
      <w:tr>
        <w:tblPrEx>
          <w:tblCellMar>
            <w:top w:w="0" w:type="dxa"/>
            <w:left w:w="108" w:type="dxa"/>
            <w:bottom w:w="0" w:type="dxa"/>
            <w:right w:w="108" w:type="dxa"/>
          </w:tblCellMar>
        </w:tblPrEx>
        <w:trPr>
          <w:trHeight w:val="400" w:hRule="atLeast"/>
        </w:trPr>
        <w:tc>
          <w:tcPr>
            <w:tcW w:w="1080"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19</w:t>
            </w:r>
          </w:p>
        </w:tc>
        <w:tc>
          <w:tcPr>
            <w:tcW w:w="2730" w:type="dxa"/>
            <w:tcBorders>
              <w:top w:val="single" w:color="auto" w:sz="4"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南芳塘坑学校</w:t>
            </w:r>
          </w:p>
        </w:tc>
        <w:tc>
          <w:tcPr>
            <w:tcW w:w="4423" w:type="dxa"/>
            <w:tcBorders>
              <w:top w:val="single" w:color="auto" w:sz="4"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255.1</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20</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简壹学校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73.32</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21</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康乐小学</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22.31</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22</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康乐学校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240.53</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23</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丰丽学校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360.33</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24</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联邦学校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56.08</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25</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名星学校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108.9</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26</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鹏达学校北校区</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116.89</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27</w:t>
            </w:r>
          </w:p>
        </w:tc>
        <w:tc>
          <w:tcPr>
            <w:tcW w:w="273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深圳市承翰学校</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224.46</w:t>
            </w:r>
          </w:p>
        </w:tc>
      </w:tr>
      <w:tr>
        <w:tblPrEx>
          <w:tblCellMar>
            <w:top w:w="0" w:type="dxa"/>
            <w:left w:w="108" w:type="dxa"/>
            <w:bottom w:w="0" w:type="dxa"/>
            <w:right w:w="108"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合计</w:t>
            </w:r>
          </w:p>
        </w:tc>
        <w:tc>
          <w:tcPr>
            <w:tcW w:w="2730" w:type="dxa"/>
            <w:tcBorders>
              <w:top w:val="nil"/>
              <w:left w:val="nil"/>
              <w:bottom w:val="single" w:color="000000" w:sz="8" w:space="0"/>
              <w:right w:val="single" w:color="000000" w:sz="8" w:space="0"/>
            </w:tcBorders>
            <w:shd w:val="clear" w:color="auto" w:fill="auto"/>
            <w:vAlign w:val="center"/>
          </w:tcPr>
          <w:p>
            <w:pPr>
              <w:snapToGrid w:val="0"/>
              <w:rPr>
                <w:rFonts w:ascii="宋体" w:hAnsi="宋体"/>
                <w:color w:val="auto"/>
                <w:sz w:val="24"/>
                <w:szCs w:val="21"/>
                <w:highlight w:val="none"/>
              </w:rPr>
            </w:pPr>
            <w:r>
              <w:rPr>
                <w:rFonts w:hint="eastAsia" w:ascii="宋体" w:hAnsi="宋体"/>
                <w:color w:val="auto"/>
                <w:sz w:val="24"/>
                <w:szCs w:val="21"/>
                <w:highlight w:val="none"/>
              </w:rPr>
              <w:t>/</w:t>
            </w:r>
          </w:p>
        </w:tc>
        <w:tc>
          <w:tcPr>
            <w:tcW w:w="4423"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5886.66</w:t>
            </w:r>
          </w:p>
        </w:tc>
      </w:tr>
    </w:tbl>
    <w:p>
      <w:pPr>
        <w:spacing w:line="600" w:lineRule="exact"/>
        <w:ind w:firstLine="645"/>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2.具体审核内容</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（1）对中兴小学等27家民办学校厕所改造工程的相关工程资料进行审核。</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（2）对中兴小学等27家民办学校厕所改造工程进行施工现场实地复核，出具</w:t>
      </w:r>
      <w:r>
        <w:rPr>
          <w:rFonts w:hint="eastAsia" w:ascii="仿宋_GB2312" w:hAnsi="仿宋_GB2312" w:eastAsia="仿宋_GB2312" w:cs="仿宋_GB2312"/>
          <w:color w:val="auto"/>
          <w:sz w:val="32"/>
          <w:szCs w:val="32"/>
          <w:highlight w:val="none"/>
          <w:lang w:val="en-US" w:eastAsia="zh-CN"/>
        </w:rPr>
        <w:t>27个工程的</w:t>
      </w:r>
      <w:r>
        <w:rPr>
          <w:rFonts w:hint="eastAsia" w:ascii="仿宋_GB2312" w:hAnsi="仿宋_GB2312" w:eastAsia="仿宋_GB2312" w:cs="仿宋_GB2312"/>
          <w:color w:val="auto"/>
          <w:sz w:val="32"/>
          <w:szCs w:val="32"/>
          <w:highlight w:val="none"/>
        </w:rPr>
        <w:t>《工程</w:t>
      </w:r>
      <w:r>
        <w:rPr>
          <w:rFonts w:hint="eastAsia" w:ascii="仿宋_GB2312" w:hAnsi="仿宋_GB2312" w:eastAsia="仿宋_GB2312" w:cs="仿宋_GB2312"/>
          <w:color w:val="auto"/>
          <w:sz w:val="32"/>
          <w:szCs w:val="32"/>
          <w:highlight w:val="none"/>
          <w:lang w:val="en-US" w:eastAsia="zh-CN"/>
        </w:rPr>
        <w:t>造价</w:t>
      </w:r>
      <w:r>
        <w:rPr>
          <w:rFonts w:hint="eastAsia" w:ascii="仿宋_GB2312" w:hAnsi="仿宋_GB2312" w:eastAsia="仿宋_GB2312" w:cs="仿宋_GB2312"/>
          <w:color w:val="auto"/>
          <w:sz w:val="32"/>
          <w:szCs w:val="32"/>
          <w:highlight w:val="none"/>
        </w:rPr>
        <w:t>结算审核书》</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一式四份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w:t>
      </w:r>
    </w:p>
    <w:p>
      <w:pPr>
        <w:spacing w:line="600" w:lineRule="exact"/>
        <w:rPr>
          <w:rFonts w:ascii="宋体" w:hAnsi="宋体" w:cs="仿宋"/>
          <w:bCs/>
          <w:color w:val="auto"/>
          <w:sz w:val="32"/>
          <w:szCs w:val="32"/>
          <w:highlight w:val="none"/>
        </w:rPr>
      </w:pPr>
      <w:r>
        <w:rPr>
          <w:rFonts w:hint="eastAsia" w:ascii="宋体" w:hAnsi="宋体" w:cs="仿宋"/>
          <w:bCs/>
          <w:color w:val="auto"/>
          <w:sz w:val="32"/>
          <w:szCs w:val="32"/>
          <w:highlight w:val="none"/>
        </w:rPr>
        <w:t xml:space="preserve">  </w:t>
      </w:r>
      <w:r>
        <w:rPr>
          <w:rFonts w:hint="eastAsia" w:ascii="仿宋" w:hAnsi="仿宋" w:eastAsia="仿宋" w:cs="仿宋"/>
          <w:b/>
          <w:color w:val="auto"/>
          <w:sz w:val="32"/>
          <w:szCs w:val="32"/>
          <w:highlight w:val="none"/>
        </w:rPr>
        <w:t xml:space="preserve">  3.时间要求</w:t>
      </w:r>
    </w:p>
    <w:p>
      <w:pPr>
        <w:spacing w:line="600" w:lineRule="exact"/>
        <w:ind w:firstLine="480"/>
        <w:rPr>
          <w:rFonts w:hint="eastAsia" w:ascii="仿宋_GB2312" w:hAnsi="仿宋_GB2312" w:eastAsia="仿宋_GB2312" w:cs="仿宋_GB2312"/>
          <w:bCs/>
          <w:color w:val="FF0000"/>
          <w:sz w:val="32"/>
          <w:szCs w:val="32"/>
          <w:highlight w:val="none"/>
        </w:rPr>
      </w:pPr>
      <w:r>
        <w:rPr>
          <w:rFonts w:hint="eastAsia" w:ascii="仿宋_GB2312" w:hAnsi="仿宋_GB2312" w:eastAsia="仿宋_GB2312" w:cs="仿宋_GB2312"/>
          <w:b/>
          <w:color w:val="FF0000"/>
          <w:sz w:val="24"/>
          <w:szCs w:val="21"/>
          <w:highlight w:val="none"/>
        </w:rPr>
        <w:t>★</w:t>
      </w:r>
      <w:r>
        <w:rPr>
          <w:rFonts w:hint="eastAsia" w:ascii="仿宋_GB2312" w:hAnsi="仿宋_GB2312" w:eastAsia="仿宋_GB2312" w:cs="仿宋_GB2312"/>
          <w:bCs/>
          <w:color w:val="FF0000"/>
          <w:sz w:val="32"/>
          <w:szCs w:val="32"/>
          <w:highlight w:val="none"/>
        </w:rPr>
        <w:t>本项目要求在</w:t>
      </w:r>
      <w:r>
        <w:rPr>
          <w:rFonts w:hint="eastAsia" w:ascii="仿宋_GB2312" w:hAnsi="仿宋_GB2312" w:eastAsia="仿宋_GB2312" w:cs="仿宋_GB2312"/>
          <w:b/>
          <w:color w:val="FF0000"/>
          <w:sz w:val="32"/>
          <w:szCs w:val="32"/>
          <w:highlight w:val="none"/>
        </w:rPr>
        <w:t>2022年1</w:t>
      </w:r>
      <w:r>
        <w:rPr>
          <w:rFonts w:hint="eastAsia" w:ascii="仿宋_GB2312" w:hAnsi="仿宋_GB2312" w:eastAsia="仿宋_GB2312" w:cs="仿宋_GB2312"/>
          <w:b/>
          <w:color w:val="FF0000"/>
          <w:sz w:val="32"/>
          <w:szCs w:val="32"/>
          <w:highlight w:val="none"/>
          <w:lang w:val="en-US" w:eastAsia="zh-CN"/>
        </w:rPr>
        <w:t>2</w:t>
      </w:r>
      <w:r>
        <w:rPr>
          <w:rFonts w:hint="eastAsia" w:ascii="仿宋_GB2312" w:hAnsi="仿宋_GB2312" w:eastAsia="仿宋_GB2312" w:cs="仿宋_GB2312"/>
          <w:b/>
          <w:color w:val="FF0000"/>
          <w:sz w:val="32"/>
          <w:szCs w:val="32"/>
          <w:highlight w:val="none"/>
        </w:rPr>
        <w:t>月</w:t>
      </w:r>
      <w:r>
        <w:rPr>
          <w:rFonts w:hint="eastAsia" w:ascii="仿宋_GB2312" w:hAnsi="仿宋_GB2312" w:eastAsia="仿宋_GB2312" w:cs="仿宋_GB2312"/>
          <w:b/>
          <w:color w:val="FF0000"/>
          <w:sz w:val="32"/>
          <w:szCs w:val="32"/>
          <w:highlight w:val="none"/>
          <w:lang w:val="en-US" w:eastAsia="zh-CN"/>
        </w:rPr>
        <w:t>9</w:t>
      </w:r>
      <w:r>
        <w:rPr>
          <w:rFonts w:hint="eastAsia" w:ascii="仿宋_GB2312" w:hAnsi="仿宋_GB2312" w:eastAsia="仿宋_GB2312" w:cs="仿宋_GB2312"/>
          <w:b/>
          <w:color w:val="FF0000"/>
          <w:sz w:val="32"/>
          <w:szCs w:val="32"/>
          <w:highlight w:val="none"/>
        </w:rPr>
        <w:t>日前</w:t>
      </w:r>
      <w:r>
        <w:rPr>
          <w:rFonts w:hint="eastAsia" w:ascii="仿宋_GB2312" w:hAnsi="仿宋_GB2312" w:eastAsia="仿宋_GB2312" w:cs="仿宋_GB2312"/>
          <w:bCs/>
          <w:color w:val="FF0000"/>
          <w:sz w:val="32"/>
          <w:szCs w:val="32"/>
          <w:highlight w:val="none"/>
        </w:rPr>
        <w:t>出具工程结算审核报告，并达到验收要求。</w:t>
      </w:r>
    </w:p>
    <w:p>
      <w:pPr>
        <w:spacing w:line="600" w:lineRule="exact"/>
        <w:ind w:firstLine="640" w:firstLineChars="200"/>
        <w:rPr>
          <w:rFonts w:hint="eastAsia" w:ascii="仿宋_GB2312" w:hAnsi="仿宋_GB2312" w:eastAsia="仿宋_GB2312" w:cs="仿宋_GB2312"/>
          <w:bCs/>
          <w:color w:val="FF0000"/>
          <w:sz w:val="32"/>
          <w:szCs w:val="32"/>
          <w:highlight w:val="none"/>
        </w:rPr>
      </w:pPr>
      <w:r>
        <w:rPr>
          <w:rFonts w:hint="eastAsia" w:ascii="仿宋_GB2312" w:hAnsi="仿宋_GB2312" w:eastAsia="仿宋_GB2312" w:cs="仿宋_GB2312"/>
          <w:bCs/>
          <w:color w:val="FF0000"/>
          <w:kern w:val="0"/>
          <w:sz w:val="32"/>
          <w:szCs w:val="32"/>
          <w:highlight w:val="none"/>
        </w:rPr>
        <w:t>（特别说明：带“</w:t>
      </w:r>
      <w:r>
        <w:rPr>
          <w:rFonts w:hint="eastAsia" w:ascii="仿宋_GB2312" w:hAnsi="仿宋_GB2312" w:eastAsia="仿宋_GB2312" w:cs="仿宋_GB2312"/>
          <w:b/>
          <w:color w:val="FF0000"/>
          <w:sz w:val="24"/>
          <w:szCs w:val="21"/>
          <w:highlight w:val="none"/>
        </w:rPr>
        <w:t>★</w:t>
      </w:r>
      <w:r>
        <w:rPr>
          <w:rFonts w:hint="eastAsia" w:ascii="仿宋_GB2312" w:hAnsi="仿宋_GB2312" w:eastAsia="仿宋_GB2312" w:cs="仿宋_GB2312"/>
          <w:bCs/>
          <w:color w:val="FF0000"/>
          <w:kern w:val="0"/>
          <w:sz w:val="32"/>
          <w:szCs w:val="32"/>
          <w:highlight w:val="none"/>
        </w:rPr>
        <w:t>”为实质性条款，</w:t>
      </w:r>
      <w:r>
        <w:rPr>
          <w:rFonts w:hint="eastAsia" w:ascii="仿宋_GB2312" w:hAnsi="仿宋_GB2312" w:eastAsia="仿宋_GB2312" w:cs="仿宋_GB2312"/>
          <w:color w:val="FF0000"/>
          <w:sz w:val="32"/>
          <w:szCs w:val="32"/>
          <w:highlight w:val="none"/>
        </w:rPr>
        <w:t>投标人必须满足。提供承诺函，格式自拟</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lang w:val="en-US" w:eastAsia="zh-CN"/>
        </w:rPr>
        <w:t>见附件5</w:t>
      </w:r>
      <w:r>
        <w:rPr>
          <w:rFonts w:hint="eastAsia" w:ascii="仿宋_GB2312" w:hAnsi="仿宋_GB2312" w:eastAsia="仿宋_GB2312" w:cs="仿宋_GB2312"/>
          <w:color w:val="FF0000"/>
          <w:sz w:val="32"/>
          <w:szCs w:val="32"/>
          <w:highlight w:val="none"/>
        </w:rPr>
        <w:t>）</w:t>
      </w:r>
    </w:p>
    <w:p>
      <w:pPr>
        <w:spacing w:line="600" w:lineRule="exact"/>
        <w:ind w:firstLine="48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本次结算审核工作共有三个阶段：</w:t>
      </w:r>
    </w:p>
    <w:p>
      <w:pPr>
        <w:spacing w:line="600" w:lineRule="exact"/>
        <w:ind w:firstLine="643" w:firstLineChars="200"/>
        <w:rPr>
          <w:rFonts w:hint="eastAsia" w:ascii="仿宋_GB2312" w:hAnsi="仿宋_GB2312" w:eastAsia="仿宋_GB2312" w:cs="仿宋_GB2312"/>
          <w:bCs/>
          <w:color w:val="auto"/>
          <w:sz w:val="32"/>
          <w:szCs w:val="32"/>
          <w:highlight w:val="none"/>
        </w:rPr>
      </w:pPr>
      <w:r>
        <w:rPr>
          <w:rFonts w:hint="eastAsia" w:ascii="仿宋" w:hAnsi="仿宋" w:eastAsia="仿宋" w:cs="仿宋"/>
          <w:b/>
          <w:color w:val="auto"/>
          <w:sz w:val="32"/>
          <w:szCs w:val="32"/>
          <w:highlight w:val="none"/>
        </w:rPr>
        <w:t>（1）材料审核阶段</w:t>
      </w:r>
      <w:r>
        <w:rPr>
          <w:rFonts w:hint="eastAsia" w:ascii="仿宋" w:hAnsi="仿宋" w:eastAsia="仿宋" w:cs="仿宋"/>
          <w:bCs/>
          <w:color w:val="auto"/>
          <w:sz w:val="32"/>
          <w:szCs w:val="32"/>
          <w:highlight w:val="none"/>
        </w:rPr>
        <w:t>：</w:t>
      </w:r>
      <w:r>
        <w:rPr>
          <w:rFonts w:hint="eastAsia" w:ascii="仿宋_GB2312" w:hAnsi="仿宋_GB2312" w:eastAsia="仿宋_GB2312" w:cs="仿宋_GB2312"/>
          <w:bCs/>
          <w:color w:val="auto"/>
          <w:sz w:val="32"/>
          <w:szCs w:val="32"/>
          <w:highlight w:val="none"/>
        </w:rPr>
        <w:t>由中标供应商接收建设单位的工程项目相关资料，审核相关工程资料是否符合规范、是否完整。</w:t>
      </w:r>
    </w:p>
    <w:p>
      <w:pPr>
        <w:spacing w:line="600" w:lineRule="exact"/>
        <w:ind w:firstLine="643" w:firstLineChars="200"/>
        <w:rPr>
          <w:rFonts w:hint="eastAsia" w:ascii="仿宋_GB2312" w:hAnsi="仿宋_GB2312" w:eastAsia="仿宋_GB2312" w:cs="仿宋_GB2312"/>
          <w:bCs/>
          <w:color w:val="auto"/>
          <w:sz w:val="32"/>
          <w:szCs w:val="32"/>
          <w:highlight w:val="none"/>
        </w:rPr>
      </w:pPr>
      <w:r>
        <w:rPr>
          <w:rFonts w:hint="eastAsia" w:ascii="仿宋" w:hAnsi="仿宋" w:eastAsia="仿宋" w:cs="仿宋"/>
          <w:b/>
          <w:color w:val="auto"/>
          <w:sz w:val="32"/>
          <w:szCs w:val="32"/>
          <w:highlight w:val="none"/>
        </w:rPr>
        <w:t>（2）现场勘察及复核阶段：</w:t>
      </w:r>
      <w:r>
        <w:rPr>
          <w:rFonts w:hint="eastAsia" w:ascii="仿宋_GB2312" w:hAnsi="仿宋_GB2312" w:eastAsia="仿宋_GB2312" w:cs="仿宋_GB2312"/>
          <w:bCs/>
          <w:color w:val="auto"/>
          <w:sz w:val="32"/>
          <w:szCs w:val="32"/>
          <w:highlight w:val="none"/>
        </w:rPr>
        <w:t>由中标供应商前往建设单位施工现场进行现场核查，确保施工项目</w:t>
      </w:r>
      <w:bookmarkStart w:id="1" w:name="_GoBack"/>
      <w:bookmarkEnd w:id="1"/>
      <w:r>
        <w:rPr>
          <w:rFonts w:hint="eastAsia" w:ascii="仿宋_GB2312" w:hAnsi="仿宋_GB2312" w:eastAsia="仿宋_GB2312" w:cs="仿宋_GB2312"/>
          <w:bCs/>
          <w:color w:val="auto"/>
          <w:sz w:val="32"/>
          <w:szCs w:val="32"/>
          <w:highlight w:val="none"/>
        </w:rPr>
        <w:t>真实，同时对于建设单位有异议的地方及时复核。</w:t>
      </w:r>
    </w:p>
    <w:p>
      <w:pPr>
        <w:spacing w:line="600" w:lineRule="exact"/>
        <w:ind w:firstLine="643" w:firstLineChars="200"/>
        <w:rPr>
          <w:rFonts w:hint="eastAsia" w:ascii="仿宋_GB2312" w:hAnsi="仿宋_GB2312" w:eastAsia="仿宋_GB2312" w:cs="仿宋_GB2312"/>
          <w:bCs/>
          <w:color w:val="auto"/>
          <w:sz w:val="32"/>
          <w:szCs w:val="32"/>
          <w:highlight w:val="none"/>
        </w:rPr>
      </w:pPr>
      <w:r>
        <w:rPr>
          <w:rFonts w:hint="eastAsia" w:ascii="仿宋" w:hAnsi="仿宋" w:eastAsia="仿宋" w:cs="仿宋"/>
          <w:b/>
          <w:color w:val="auto"/>
          <w:sz w:val="32"/>
          <w:szCs w:val="32"/>
          <w:highlight w:val="none"/>
        </w:rPr>
        <w:t>（3）工程结算审核报告编制：</w:t>
      </w:r>
      <w:r>
        <w:rPr>
          <w:rFonts w:hint="eastAsia" w:ascii="仿宋_GB2312" w:hAnsi="仿宋_GB2312" w:eastAsia="仿宋_GB2312" w:cs="仿宋_GB2312"/>
          <w:bCs/>
          <w:color w:val="auto"/>
          <w:sz w:val="32"/>
          <w:szCs w:val="32"/>
          <w:highlight w:val="none"/>
        </w:rPr>
        <w:t>中标供应商根据现场核查的情况编制结算审核报告。</w:t>
      </w:r>
    </w:p>
    <w:p>
      <w:p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本次审核采取分批审核的形式，由采购人决定审核的先后顺序。如遇疫情等特殊情况，经采购方同意可顺延完成时间。</w:t>
      </w:r>
    </w:p>
    <w:p>
      <w:pPr>
        <w:spacing w:line="600" w:lineRule="exact"/>
        <w:ind w:firstLine="643" w:firstLineChars="2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4.验收要求</w:t>
      </w:r>
    </w:p>
    <w:p>
      <w:p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中标供应商出具每个项目的工程结算审核报告（一式四份，包含资料审核结果说明、编制说明、现场核查表、工程结算审核确认表等）。</w:t>
      </w:r>
    </w:p>
    <w:p>
      <w:pPr>
        <w:spacing w:line="360" w:lineRule="auto"/>
        <w:ind w:firstLine="643" w:firstLineChars="2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5.人员要求</w:t>
      </w:r>
    </w:p>
    <w:p>
      <w:pPr>
        <w:widowControl/>
        <w:spacing w:line="360" w:lineRule="auto"/>
        <w:ind w:firstLine="482" w:firstLineChars="200"/>
        <w:rPr>
          <w:rFonts w:hint="eastAsia" w:ascii="仿宋_GB2312" w:hAnsi="仿宋_GB2312" w:eastAsia="仿宋_GB2312" w:cs="仿宋_GB2312"/>
          <w:bCs/>
          <w:color w:val="FF0000"/>
          <w:kern w:val="0"/>
          <w:sz w:val="32"/>
          <w:szCs w:val="32"/>
          <w:highlight w:val="none"/>
        </w:rPr>
      </w:pPr>
      <w:r>
        <w:rPr>
          <w:rFonts w:hint="eastAsia" w:ascii="仿宋_GB2312" w:hAnsi="仿宋_GB2312" w:eastAsia="仿宋_GB2312" w:cs="仿宋_GB2312"/>
          <w:b/>
          <w:color w:val="FF0000"/>
          <w:sz w:val="24"/>
          <w:szCs w:val="21"/>
          <w:highlight w:val="none"/>
        </w:rPr>
        <w:t>★</w:t>
      </w:r>
      <w:r>
        <w:rPr>
          <w:rFonts w:hint="eastAsia" w:ascii="仿宋_GB2312" w:hAnsi="仿宋_GB2312" w:eastAsia="仿宋_GB2312" w:cs="仿宋_GB2312"/>
          <w:bCs/>
          <w:color w:val="FF0000"/>
          <w:kern w:val="0"/>
          <w:sz w:val="32"/>
          <w:szCs w:val="32"/>
          <w:highlight w:val="none"/>
        </w:rPr>
        <w:t>中标单位应根据采购方的要求，安排</w:t>
      </w:r>
      <w:r>
        <w:rPr>
          <w:rFonts w:hint="eastAsia" w:ascii="仿宋_GB2312" w:hAnsi="仿宋_GB2312" w:eastAsia="仿宋_GB2312" w:cs="仿宋_GB2312"/>
          <w:b/>
          <w:color w:val="FF0000"/>
          <w:kern w:val="0"/>
          <w:sz w:val="32"/>
          <w:szCs w:val="32"/>
          <w:highlight w:val="none"/>
        </w:rPr>
        <w:t>1名项目负责人</w:t>
      </w:r>
      <w:r>
        <w:rPr>
          <w:rFonts w:hint="eastAsia" w:ascii="仿宋_GB2312" w:hAnsi="仿宋_GB2312" w:eastAsia="仿宋_GB2312" w:cs="仿宋_GB2312"/>
          <w:bCs/>
          <w:color w:val="FF0000"/>
          <w:kern w:val="0"/>
          <w:sz w:val="32"/>
          <w:szCs w:val="32"/>
          <w:highlight w:val="none"/>
        </w:rPr>
        <w:t>，负责与采购单位沟通、联系，对咨询成果文件进行质量把关；安排</w:t>
      </w:r>
      <w:r>
        <w:rPr>
          <w:rFonts w:hint="eastAsia" w:ascii="仿宋_GB2312" w:hAnsi="仿宋_GB2312" w:eastAsia="仿宋_GB2312" w:cs="仿宋_GB2312"/>
          <w:b/>
          <w:color w:val="FF0000"/>
          <w:kern w:val="0"/>
          <w:sz w:val="32"/>
          <w:szCs w:val="32"/>
          <w:highlight w:val="none"/>
        </w:rPr>
        <w:t>不少于6人的造价咨询技术人员</w:t>
      </w:r>
      <w:r>
        <w:rPr>
          <w:rFonts w:hint="eastAsia" w:ascii="仿宋_GB2312" w:hAnsi="仿宋_GB2312" w:eastAsia="仿宋_GB2312" w:cs="仿宋_GB2312"/>
          <w:bCs/>
          <w:color w:val="FF0000"/>
          <w:kern w:val="0"/>
          <w:sz w:val="32"/>
          <w:szCs w:val="32"/>
          <w:highlight w:val="none"/>
          <w:lang w:eastAsia="zh-CN"/>
        </w:rPr>
        <w:t>（</w:t>
      </w:r>
      <w:r>
        <w:rPr>
          <w:rFonts w:hint="eastAsia" w:ascii="仿宋_GB2312" w:hAnsi="仿宋_GB2312" w:eastAsia="仿宋_GB2312" w:cs="仿宋_GB2312"/>
          <w:bCs/>
          <w:color w:val="FF0000"/>
          <w:kern w:val="0"/>
          <w:sz w:val="32"/>
          <w:szCs w:val="32"/>
          <w:highlight w:val="none"/>
          <w:lang w:val="en-US" w:eastAsia="zh-CN"/>
        </w:rPr>
        <w:t>包含两名</w:t>
      </w:r>
      <w:r>
        <w:rPr>
          <w:rFonts w:hint="eastAsia" w:ascii="仿宋_GB2312" w:hAnsi="仿宋_GB2312" w:eastAsia="仿宋_GB2312" w:cs="仿宋_GB2312"/>
          <w:bCs/>
          <w:color w:val="FF0000"/>
          <w:kern w:val="0"/>
          <w:sz w:val="32"/>
          <w:szCs w:val="32"/>
          <w:highlight w:val="none"/>
          <w:lang w:eastAsia="zh-CN"/>
        </w:rPr>
        <w:t>具备一级造价工程师</w:t>
      </w:r>
      <w:r>
        <w:rPr>
          <w:rFonts w:hint="eastAsia" w:ascii="仿宋_GB2312" w:hAnsi="仿宋_GB2312" w:eastAsia="仿宋_GB2312" w:cs="仿宋_GB2312"/>
          <w:bCs/>
          <w:color w:val="FF0000"/>
          <w:kern w:val="0"/>
          <w:sz w:val="32"/>
          <w:szCs w:val="32"/>
          <w:highlight w:val="none"/>
        </w:rPr>
        <w:t>的人员作为小组长</w:t>
      </w:r>
      <w:r>
        <w:rPr>
          <w:rFonts w:hint="eastAsia" w:ascii="仿宋_GB2312" w:hAnsi="仿宋_GB2312" w:eastAsia="仿宋_GB2312" w:cs="仿宋_GB2312"/>
          <w:bCs/>
          <w:color w:val="FF0000"/>
          <w:kern w:val="0"/>
          <w:sz w:val="32"/>
          <w:szCs w:val="32"/>
          <w:highlight w:val="none"/>
          <w:lang w:eastAsia="zh-CN"/>
        </w:rPr>
        <w:t>）</w:t>
      </w:r>
      <w:r>
        <w:rPr>
          <w:rFonts w:hint="eastAsia" w:ascii="仿宋_GB2312" w:hAnsi="仿宋_GB2312" w:eastAsia="仿宋_GB2312" w:cs="仿宋_GB2312"/>
          <w:bCs/>
          <w:color w:val="FF0000"/>
          <w:kern w:val="0"/>
          <w:sz w:val="32"/>
          <w:szCs w:val="32"/>
          <w:highlight w:val="none"/>
        </w:rPr>
        <w:t>服务于本项目，其中所有人员均应是投标单位的自有员工。</w:t>
      </w:r>
    </w:p>
    <w:p>
      <w:pPr>
        <w:spacing w:line="600" w:lineRule="exact"/>
        <w:ind w:firstLine="640" w:firstLineChars="200"/>
        <w:rPr>
          <w:rFonts w:hint="eastAsia" w:ascii="仿宋_GB2312" w:hAnsi="仿宋_GB2312" w:eastAsia="仿宋_GB2312" w:cs="仿宋_GB2312"/>
          <w:bCs/>
          <w:color w:val="FF0000"/>
          <w:sz w:val="32"/>
          <w:szCs w:val="32"/>
          <w:highlight w:val="none"/>
        </w:rPr>
      </w:pPr>
      <w:r>
        <w:rPr>
          <w:rFonts w:hint="eastAsia" w:ascii="仿宋_GB2312" w:hAnsi="仿宋_GB2312" w:eastAsia="仿宋_GB2312" w:cs="仿宋_GB2312"/>
          <w:bCs/>
          <w:color w:val="FF0000"/>
          <w:kern w:val="0"/>
          <w:sz w:val="32"/>
          <w:szCs w:val="32"/>
          <w:highlight w:val="none"/>
        </w:rPr>
        <w:t>（特别说明：带“</w:t>
      </w:r>
      <w:r>
        <w:rPr>
          <w:rFonts w:hint="eastAsia" w:ascii="仿宋_GB2312" w:hAnsi="仿宋_GB2312" w:eastAsia="仿宋_GB2312" w:cs="仿宋_GB2312"/>
          <w:b/>
          <w:color w:val="FF0000"/>
          <w:sz w:val="24"/>
          <w:szCs w:val="21"/>
          <w:highlight w:val="none"/>
        </w:rPr>
        <w:t>★</w:t>
      </w:r>
      <w:r>
        <w:rPr>
          <w:rFonts w:hint="eastAsia" w:ascii="仿宋_GB2312" w:hAnsi="仿宋_GB2312" w:eastAsia="仿宋_GB2312" w:cs="仿宋_GB2312"/>
          <w:bCs/>
          <w:color w:val="FF0000"/>
          <w:kern w:val="0"/>
          <w:sz w:val="32"/>
          <w:szCs w:val="32"/>
          <w:highlight w:val="none"/>
        </w:rPr>
        <w:t>”为实质性条款，</w:t>
      </w:r>
      <w:r>
        <w:rPr>
          <w:rFonts w:hint="eastAsia" w:ascii="仿宋_GB2312" w:hAnsi="仿宋_GB2312" w:eastAsia="仿宋_GB2312" w:cs="仿宋_GB2312"/>
          <w:color w:val="FF0000"/>
          <w:sz w:val="32"/>
          <w:szCs w:val="32"/>
          <w:highlight w:val="none"/>
        </w:rPr>
        <w:t>投标人必须满足。）</w:t>
      </w:r>
    </w:p>
    <w:p>
      <w:pPr>
        <w:pStyle w:val="2"/>
      </w:pPr>
    </w:p>
    <w:p>
      <w:pPr>
        <w:spacing w:line="600" w:lineRule="exact"/>
        <w:ind w:firstLine="643" w:firstLineChars="2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6.核查要求</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rPr>
        <w:t>中标单位</w:t>
      </w:r>
      <w:r>
        <w:rPr>
          <w:rFonts w:hint="eastAsia" w:ascii="仿宋_GB2312" w:hAnsi="仿宋_GB2312" w:eastAsia="仿宋_GB2312" w:cs="仿宋_GB2312"/>
          <w:b/>
          <w:color w:val="FF0000"/>
          <w:kern w:val="0"/>
          <w:sz w:val="32"/>
          <w:szCs w:val="32"/>
          <w:highlight w:val="none"/>
          <w:lang w:val="en-US" w:eastAsia="zh-CN"/>
        </w:rPr>
        <w:t>必</w:t>
      </w:r>
      <w:r>
        <w:rPr>
          <w:rFonts w:hint="eastAsia" w:ascii="仿宋_GB2312" w:hAnsi="仿宋_GB2312" w:eastAsia="仿宋_GB2312" w:cs="仿宋_GB2312"/>
          <w:b/>
          <w:color w:val="FF0000"/>
          <w:kern w:val="0"/>
          <w:sz w:val="32"/>
          <w:szCs w:val="32"/>
          <w:highlight w:val="none"/>
        </w:rPr>
        <w:t>须到每一个建设工程现场核查</w:t>
      </w:r>
      <w:r>
        <w:rPr>
          <w:rFonts w:hint="eastAsia" w:ascii="仿宋_GB2312" w:hAnsi="仿宋_GB2312" w:eastAsia="仿宋_GB2312" w:cs="仿宋_GB2312"/>
          <w:bCs/>
          <w:color w:val="auto"/>
          <w:kern w:val="0"/>
          <w:sz w:val="32"/>
          <w:szCs w:val="32"/>
          <w:highlight w:val="none"/>
        </w:rPr>
        <w:t>，根据</w:t>
      </w:r>
      <w:r>
        <w:rPr>
          <w:rFonts w:hint="eastAsia" w:ascii="仿宋_GB2312" w:hAnsi="仿宋_GB2312" w:eastAsia="仿宋_GB2312" w:cs="仿宋_GB2312"/>
          <w:bCs/>
          <w:color w:val="auto"/>
          <w:kern w:val="0"/>
          <w:sz w:val="32"/>
          <w:szCs w:val="32"/>
          <w:highlight w:val="none"/>
          <w:lang w:val="en-US" w:eastAsia="zh-CN"/>
        </w:rPr>
        <w:t>国家、省、市</w:t>
      </w:r>
      <w:r>
        <w:rPr>
          <w:rFonts w:hint="eastAsia" w:ascii="仿宋_GB2312" w:hAnsi="仿宋_GB2312" w:eastAsia="仿宋_GB2312" w:cs="仿宋_GB2312"/>
          <w:bCs/>
          <w:color w:val="auto"/>
          <w:kern w:val="0"/>
          <w:sz w:val="32"/>
          <w:szCs w:val="32"/>
          <w:highlight w:val="none"/>
        </w:rPr>
        <w:t>相关工程规范，客观、真实、公正地审核每个工程项目的造价，出具工程结算现场核查记录表</w:t>
      </w:r>
      <w:r>
        <w:rPr>
          <w:rFonts w:hint="eastAsia" w:ascii="仿宋_GB2312" w:hAnsi="仿宋_GB2312" w:eastAsia="仿宋_GB2312" w:cs="仿宋_GB2312"/>
          <w:bCs/>
          <w:color w:val="auto"/>
          <w:kern w:val="0"/>
          <w:sz w:val="32"/>
          <w:szCs w:val="32"/>
          <w:highlight w:val="none"/>
          <w:lang w:val="en-US" w:eastAsia="zh-CN"/>
        </w:rPr>
        <w:t>、审核对比表</w:t>
      </w:r>
      <w:r>
        <w:rPr>
          <w:rFonts w:hint="eastAsia" w:ascii="仿宋_GB2312" w:hAnsi="仿宋_GB2312" w:eastAsia="仿宋_GB2312" w:cs="仿宋_GB2312"/>
          <w:bCs/>
          <w:color w:val="auto"/>
          <w:kern w:val="0"/>
          <w:sz w:val="32"/>
          <w:szCs w:val="32"/>
          <w:highlight w:val="none"/>
        </w:rPr>
        <w:t>、工程造价</w:t>
      </w:r>
      <w:r>
        <w:rPr>
          <w:rFonts w:hint="eastAsia" w:ascii="仿宋_GB2312" w:hAnsi="仿宋_GB2312" w:eastAsia="仿宋_GB2312" w:cs="仿宋_GB2312"/>
          <w:bCs/>
          <w:color w:val="auto"/>
          <w:sz w:val="32"/>
          <w:szCs w:val="32"/>
          <w:highlight w:val="none"/>
        </w:rPr>
        <w:t>结算审核报告，中标单位须保障项目的效率和质量。</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7.中标单位审核过程中如遇问题，应及时、主动与委托方沟通协调，并汇总情况提出建议。如发生违规违约的投诉，应配合委托方的调查和处理。</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8.</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bCs/>
          <w:color w:val="auto"/>
          <w:sz w:val="32"/>
          <w:szCs w:val="32"/>
          <w:highlight w:val="none"/>
        </w:rPr>
        <w:t>审核结算造价与深圳市政府审计部门审定价比较，</w:t>
      </w:r>
      <w:r>
        <w:rPr>
          <w:rFonts w:hint="eastAsia" w:ascii="仿宋_GB2312" w:hAnsi="仿宋_GB2312" w:eastAsia="仿宋_GB2312" w:cs="仿宋_GB2312"/>
          <w:bCs/>
          <w:color w:val="auto"/>
          <w:sz w:val="32"/>
          <w:szCs w:val="32"/>
          <w:highlight w:val="none"/>
          <w:lang w:val="en-US" w:eastAsia="zh-CN"/>
        </w:rPr>
        <w:t>由于</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bCs/>
          <w:color w:val="auto"/>
          <w:sz w:val="32"/>
          <w:szCs w:val="32"/>
          <w:highlight w:val="none"/>
        </w:rPr>
        <w:t>工程量计算错误、定额套用错误、应采用信息价未采用</w:t>
      </w:r>
      <w:r>
        <w:rPr>
          <w:rFonts w:hint="eastAsia" w:ascii="仿宋_GB2312" w:hAnsi="仿宋_GB2312" w:eastAsia="仿宋_GB2312" w:cs="仿宋_GB2312"/>
          <w:bCs/>
          <w:color w:val="auto"/>
          <w:sz w:val="32"/>
          <w:szCs w:val="32"/>
          <w:highlight w:val="none"/>
          <w:lang w:val="en-US" w:eastAsia="zh-CN"/>
        </w:rPr>
        <w:t>的原因</w:t>
      </w:r>
      <w:r>
        <w:rPr>
          <w:rFonts w:hint="eastAsia" w:ascii="仿宋_GB2312" w:hAnsi="仿宋_GB2312" w:eastAsia="仿宋_GB2312" w:cs="仿宋_GB2312"/>
          <w:bCs/>
          <w:color w:val="auto"/>
          <w:sz w:val="32"/>
          <w:szCs w:val="32"/>
          <w:highlight w:val="none"/>
        </w:rPr>
        <w:t>超过审定价</w:t>
      </w:r>
      <w:r>
        <w:rPr>
          <w:rFonts w:hint="eastAsia" w:ascii="仿宋_GB2312" w:hAnsi="仿宋_GB2312" w:eastAsia="仿宋_GB2312" w:cs="仿宋_GB2312"/>
          <w:bCs/>
          <w:color w:val="auto"/>
          <w:sz w:val="32"/>
          <w:szCs w:val="32"/>
          <w:highlight w:val="none"/>
          <w:lang w:val="en-US" w:eastAsia="zh-CN"/>
        </w:rPr>
        <w:t>的</w:t>
      </w:r>
      <w:r>
        <w:rPr>
          <w:rFonts w:hint="eastAsia" w:ascii="仿宋_GB2312" w:hAnsi="仿宋_GB2312" w:eastAsia="仿宋_GB2312" w:cs="仿宋_GB2312"/>
          <w:bCs/>
          <w:color w:val="auto"/>
          <w:sz w:val="32"/>
          <w:szCs w:val="32"/>
          <w:highlight w:val="none"/>
        </w:rPr>
        <w:t>±5%，按超过部分造价的1%给予</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bCs/>
          <w:color w:val="auto"/>
          <w:sz w:val="32"/>
          <w:szCs w:val="32"/>
          <w:highlight w:val="none"/>
        </w:rPr>
        <w:t>罚款，按次累计计算；但本项累计罚款不超过咨询服务酬金的10%。</w:t>
      </w:r>
    </w:p>
    <w:p>
      <w:pPr>
        <w:pStyle w:val="20"/>
        <w:rPr>
          <w:rFonts w:hint="eastAsia" w:ascii="仿宋" w:hAnsi="仿宋" w:eastAsia="仿宋" w:cs="仿宋"/>
          <w:bCs/>
          <w:color w:val="auto"/>
          <w:kern w:val="2"/>
          <w:sz w:val="32"/>
          <w:szCs w:val="32"/>
          <w:highlight w:val="none"/>
          <w:lang w:val="en-US" w:eastAsia="zh-CN" w:bidi="ar-SA"/>
        </w:rPr>
      </w:pPr>
      <w:r>
        <w:rPr>
          <w:rFonts w:hint="eastAsia"/>
          <w:color w:val="auto"/>
          <w:highlight w:val="none"/>
        </w:rPr>
        <w:t>四、评标定标方法</w:t>
      </w:r>
    </w:p>
    <w:p>
      <w:pPr>
        <w:pStyle w:val="2"/>
        <w:ind w:firstLine="640" w:firstLineChars="200"/>
        <w:jc w:val="left"/>
        <w:rPr>
          <w:rFonts w:hint="eastAsia" w:ascii="仿宋_GB2312" w:hAnsi="仿宋_GB2312" w:eastAsia="仿宋_GB2312" w:cs="仿宋_GB2312"/>
          <w:bCs/>
          <w:color w:val="auto"/>
          <w:kern w:val="2"/>
          <w:sz w:val="32"/>
          <w:szCs w:val="32"/>
          <w:highlight w:val="none"/>
        </w:rPr>
      </w:pPr>
      <w:r>
        <w:rPr>
          <w:rFonts w:hint="eastAsia" w:ascii="仿宋_GB2312" w:hAnsi="仿宋_GB2312" w:eastAsia="仿宋_GB2312" w:cs="仿宋_GB2312"/>
          <w:bCs/>
          <w:color w:val="auto"/>
          <w:kern w:val="2"/>
          <w:sz w:val="32"/>
          <w:szCs w:val="32"/>
          <w:highlight w:val="none"/>
        </w:rPr>
        <w:t>通过内部招标（综合评分法），具体如下：</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1.当符合性审核合格供应商达三家或三家以上时，由区教育局评标小组以综合评分法确定一家预中标供应商，得分最高的为预中标供应商。</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2.当符合性审核合格供应商少于三家时，该项目作流标处理。</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3.综合评分表如下：</w:t>
      </w:r>
    </w:p>
    <w:tbl>
      <w:tblPr>
        <w:tblStyle w:val="12"/>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550"/>
        <w:gridCol w:w="1647"/>
        <w:gridCol w:w="791"/>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spacing w:line="360" w:lineRule="atLeast"/>
              <w:jc w:val="center"/>
              <w:rPr>
                <w:rFonts w:hint="eastAsia" w:ascii="黑体" w:hAnsi="黑体" w:eastAsia="黑体" w:cs="宋体"/>
                <w:color w:val="auto"/>
                <w:sz w:val="23"/>
                <w:szCs w:val="23"/>
                <w:highlight w:val="none"/>
              </w:rPr>
            </w:pPr>
            <w:r>
              <w:rPr>
                <w:rFonts w:hint="eastAsia" w:ascii="黑体" w:hAnsi="黑体" w:eastAsia="黑体" w:cs="宋体"/>
                <w:color w:val="auto"/>
                <w:sz w:val="23"/>
                <w:szCs w:val="23"/>
                <w:highlight w:val="none"/>
              </w:rPr>
              <w:t>序号</w:t>
            </w:r>
          </w:p>
        </w:tc>
        <w:tc>
          <w:tcPr>
            <w:tcW w:w="2988" w:type="dxa"/>
            <w:gridSpan w:val="3"/>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spacing w:line="360" w:lineRule="atLeast"/>
              <w:jc w:val="center"/>
              <w:rPr>
                <w:rFonts w:hint="eastAsia" w:ascii="黑体" w:hAnsi="黑体" w:eastAsia="黑体" w:cs="宋体"/>
                <w:color w:val="auto"/>
                <w:sz w:val="23"/>
                <w:szCs w:val="23"/>
                <w:highlight w:val="none"/>
              </w:rPr>
            </w:pPr>
            <w:r>
              <w:rPr>
                <w:rFonts w:hint="eastAsia" w:ascii="黑体" w:hAnsi="黑体" w:eastAsia="黑体"/>
                <w:color w:val="auto"/>
                <w:sz w:val="23"/>
                <w:szCs w:val="23"/>
                <w:highlight w:val="none"/>
              </w:rPr>
              <w:t>评分项</w:t>
            </w:r>
          </w:p>
        </w:tc>
        <w:tc>
          <w:tcPr>
            <w:tcW w:w="55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spacing w:line="360" w:lineRule="atLeast"/>
              <w:jc w:val="center"/>
              <w:rPr>
                <w:rFonts w:hint="eastAsia" w:ascii="黑体" w:hAnsi="黑体" w:eastAsia="黑体" w:cs="宋体"/>
                <w:color w:val="auto"/>
                <w:sz w:val="23"/>
                <w:szCs w:val="23"/>
                <w:highlight w:val="none"/>
              </w:rPr>
            </w:pPr>
            <w:r>
              <w:rPr>
                <w:rFonts w:hint="eastAsia" w:ascii="黑体" w:hAnsi="黑体" w:eastAsia="黑体"/>
                <w:color w:val="auto"/>
                <w:sz w:val="23"/>
                <w:szCs w:val="23"/>
                <w:highlight w:val="none"/>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w:t>
            </w:r>
          </w:p>
        </w:tc>
        <w:tc>
          <w:tcPr>
            <w:tcW w:w="2988" w:type="dxa"/>
            <w:gridSpan w:val="3"/>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价格部分</w:t>
            </w:r>
          </w:p>
        </w:tc>
        <w:tc>
          <w:tcPr>
            <w:tcW w:w="552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rPr>
              <w:t>1</w:t>
            </w:r>
            <w:r>
              <w:rPr>
                <w:rFonts w:hint="eastAsia" w:ascii="仿宋_GB2312" w:hAnsi="宋体" w:eastAsia="仿宋_GB2312"/>
                <w:color w:val="auto"/>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w:t>
            </w:r>
          </w:p>
        </w:tc>
        <w:tc>
          <w:tcPr>
            <w:tcW w:w="2988" w:type="dxa"/>
            <w:gridSpan w:val="3"/>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olor w:val="auto"/>
                <w:szCs w:val="21"/>
                <w:highlight w:val="none"/>
              </w:rPr>
              <w:t>技术部分</w:t>
            </w:r>
          </w:p>
        </w:tc>
        <w:tc>
          <w:tcPr>
            <w:tcW w:w="5529" w:type="dxa"/>
            <w:tcBorders>
              <w:top w:val="single" w:color="auto" w:sz="4" w:space="0"/>
              <w:left w:val="single" w:color="auto" w:sz="4" w:space="0"/>
              <w:bottom w:val="single" w:color="auto" w:sz="4" w:space="0"/>
              <w:right w:val="single" w:color="auto" w:sz="4" w:space="0"/>
            </w:tcBorders>
            <w:shd w:val="clear" w:color="auto" w:fill="DEEAF6" w:themeFill="accent1" w:themeFillTint="33"/>
            <w:vAlign w:val="center"/>
          </w:tcPr>
          <w:p>
            <w:pPr>
              <w:spacing w:line="360" w:lineRule="atLeast"/>
              <w:jc w:val="center"/>
              <w:rPr>
                <w:rFonts w:hint="default" w:ascii="仿宋_GB2312" w:hAnsi="宋体" w:eastAsia="仿宋_GB2312" w:cs="宋体"/>
                <w:color w:val="auto"/>
                <w:szCs w:val="21"/>
                <w:highlight w:val="none"/>
                <w:lang w:val="en-US" w:eastAsia="zh-CN"/>
              </w:rPr>
            </w:pPr>
            <w:r>
              <w:rPr>
                <w:rFonts w:hint="eastAsia" w:ascii="仿宋_GB2312" w:hAnsi="宋体" w:eastAsia="仿宋_GB2312" w:cs="宋体"/>
                <w:color w:val="auto"/>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522" w:type="dxa"/>
            <w:vMerge w:val="restart"/>
            <w:tcBorders>
              <w:top w:val="single" w:color="auto" w:sz="4" w:space="0"/>
              <w:left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行号</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olor w:val="auto"/>
                <w:szCs w:val="21"/>
                <w:highlight w:val="none"/>
              </w:rPr>
              <w:t>评分因素</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权重</w:t>
            </w:r>
          </w:p>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olor w:val="auto"/>
                <w:szCs w:val="21"/>
                <w:highlight w:val="none"/>
              </w:rPr>
              <w:t>（%）</w:t>
            </w:r>
          </w:p>
        </w:tc>
        <w:tc>
          <w:tcPr>
            <w:tcW w:w="552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522" w:type="dxa"/>
            <w:vMerge w:val="continue"/>
            <w:tcBorders>
              <w:left w:val="single" w:color="auto" w:sz="4" w:space="0"/>
              <w:right w:val="single" w:color="auto" w:sz="4" w:space="0"/>
            </w:tcBorders>
            <w:vAlign w:val="center"/>
          </w:tcPr>
          <w:p>
            <w:pPr>
              <w:widowControl/>
              <w:spacing w:line="360" w:lineRule="atLeast"/>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新宋体" w:eastAsia="仿宋_GB2312"/>
                <w:color w:val="auto"/>
                <w:szCs w:val="21"/>
                <w:highlight w:val="none"/>
              </w:rPr>
              <w:t>对本项目服务内容的把握及理解</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default" w:ascii="仿宋_GB2312" w:hAnsi="宋体" w:eastAsia="仿宋_GB2312"/>
                <w:bCs/>
                <w:color w:val="auto"/>
                <w:szCs w:val="21"/>
                <w:highlight w:val="none"/>
                <w:lang w:val="en-US" w:eastAsia="zh-CN"/>
              </w:rPr>
            </w:pPr>
            <w:r>
              <w:rPr>
                <w:rFonts w:hint="eastAsia" w:ascii="仿宋_GB2312" w:hAnsi="宋体" w:eastAsia="仿宋_GB2312"/>
                <w:bCs/>
                <w:color w:val="auto"/>
                <w:szCs w:val="21"/>
                <w:highlight w:val="none"/>
                <w:lang w:val="en-US" w:eastAsia="zh-CN"/>
              </w:rPr>
              <w:t>15</w:t>
            </w:r>
          </w:p>
        </w:tc>
        <w:tc>
          <w:tcPr>
            <w:tcW w:w="5529" w:type="dxa"/>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tLeast"/>
              <w:jc w:val="left"/>
              <w:rPr>
                <w:rFonts w:hint="eastAsia" w:ascii="仿宋_GB2312" w:hAnsi="宋体" w:eastAsia="仿宋_GB2312"/>
                <w:bCs/>
                <w:color w:val="auto"/>
                <w:szCs w:val="21"/>
                <w:highlight w:val="none"/>
              </w:rPr>
            </w:pPr>
            <w:r>
              <w:rPr>
                <w:rFonts w:hint="eastAsia" w:ascii="仿宋_GB2312" w:hAnsi="宋体" w:eastAsia="仿宋_GB2312"/>
                <w:b/>
                <w:color w:val="auto"/>
                <w:szCs w:val="21"/>
                <w:highlight w:val="none"/>
              </w:rPr>
              <w:t>评审内容</w:t>
            </w:r>
            <w:r>
              <w:rPr>
                <w:rFonts w:hint="eastAsia" w:ascii="仿宋_GB2312" w:hAnsi="宋体" w:eastAsia="仿宋_GB2312"/>
                <w:bCs/>
                <w:color w:val="auto"/>
                <w:szCs w:val="21"/>
                <w:highlight w:val="none"/>
              </w:rPr>
              <w:t>：</w:t>
            </w:r>
          </w:p>
          <w:p>
            <w:pPr>
              <w:spacing w:line="360" w:lineRule="atLeast"/>
              <w:jc w:val="left"/>
              <w:rPr>
                <w:rFonts w:hint="eastAsia" w:ascii="仿宋_GB2312" w:hAnsi="宋体" w:eastAsia="仿宋_GB2312"/>
                <w:bCs/>
                <w:color w:val="auto"/>
                <w:szCs w:val="21"/>
                <w:highlight w:val="none"/>
                <w:lang w:eastAsia="zh-CN"/>
              </w:rPr>
            </w:pPr>
            <w:r>
              <w:rPr>
                <w:rFonts w:hint="eastAsia" w:ascii="仿宋_GB2312" w:hAnsi="宋体" w:eastAsia="仿宋_GB2312"/>
                <w:bCs/>
                <w:color w:val="auto"/>
                <w:szCs w:val="21"/>
                <w:highlight w:val="none"/>
              </w:rPr>
              <w:t>根据本项目服务需求， 投标人提供以下</w:t>
            </w:r>
            <w:r>
              <w:rPr>
                <w:rFonts w:hint="eastAsia" w:ascii="仿宋_GB2312" w:hAnsi="宋体" w:eastAsia="仿宋_GB2312"/>
                <w:bCs/>
                <w:color w:val="auto"/>
                <w:szCs w:val="21"/>
                <w:highlight w:val="none"/>
                <w:lang w:val="en-US" w:eastAsia="zh-CN"/>
              </w:rPr>
              <w:t>三</w:t>
            </w:r>
            <w:r>
              <w:rPr>
                <w:rFonts w:hint="eastAsia" w:ascii="仿宋_GB2312" w:hAnsi="宋体" w:eastAsia="仿宋_GB2312"/>
                <w:bCs/>
                <w:color w:val="auto"/>
                <w:szCs w:val="21"/>
                <w:highlight w:val="none"/>
              </w:rPr>
              <w:t>项内容:1、 关键节点控制、 项目进度统筹； 2、重点难分析及自身优势</w:t>
            </w:r>
            <w:r>
              <w:rPr>
                <w:rFonts w:hint="eastAsia" w:ascii="仿宋_GB2312" w:hAnsi="宋体" w:eastAsia="仿宋_GB2312"/>
                <w:bCs/>
                <w:color w:val="auto"/>
                <w:szCs w:val="21"/>
                <w:highlight w:val="none"/>
                <w:lang w:eastAsia="zh-CN"/>
              </w:rPr>
              <w:t>；</w:t>
            </w:r>
            <w:r>
              <w:rPr>
                <w:rFonts w:hint="eastAsia" w:ascii="仿宋_GB2312" w:hAnsi="宋体" w:eastAsia="仿宋_GB2312"/>
                <w:bCs/>
                <w:color w:val="auto"/>
                <w:szCs w:val="21"/>
                <w:highlight w:val="none"/>
                <w:lang w:val="en-US" w:eastAsia="zh-CN"/>
              </w:rPr>
              <w:t>3、</w:t>
            </w:r>
            <w:r>
              <w:rPr>
                <w:rFonts w:hint="eastAsia" w:ascii="仿宋_GB2312" w:hAnsi="宋体" w:eastAsia="仿宋_GB2312"/>
                <w:bCs/>
                <w:color w:val="auto"/>
                <w:szCs w:val="21"/>
                <w:highlight w:val="none"/>
              </w:rPr>
              <w:t xml:space="preserve"> </w:t>
            </w:r>
            <w:r>
              <w:rPr>
                <w:rFonts w:hint="eastAsia" w:ascii="仿宋_GB2312" w:eastAsia="仿宋_GB2312"/>
                <w:color w:val="auto"/>
                <w:szCs w:val="21"/>
                <w:highlight w:val="none"/>
              </w:rPr>
              <w:t>质量保障方案</w:t>
            </w:r>
            <w:r>
              <w:rPr>
                <w:rFonts w:hint="eastAsia" w:ascii="仿宋_GB2312" w:eastAsia="仿宋_GB2312"/>
                <w:color w:val="auto"/>
                <w:szCs w:val="21"/>
                <w:highlight w:val="none"/>
                <w:lang w:eastAsia="zh-CN"/>
              </w:rPr>
              <w:t>。</w:t>
            </w:r>
          </w:p>
          <w:p>
            <w:pPr>
              <w:spacing w:line="360" w:lineRule="atLeast"/>
              <w:jc w:val="left"/>
              <w:rPr>
                <w:rFonts w:hint="eastAsia" w:ascii="仿宋_GB2312" w:hAnsi="宋体" w:eastAsia="仿宋_GB2312"/>
                <w:bCs/>
                <w:color w:val="auto"/>
                <w:szCs w:val="21"/>
                <w:highlight w:val="none"/>
              </w:rPr>
            </w:pPr>
            <w:r>
              <w:rPr>
                <w:rFonts w:hint="eastAsia" w:ascii="仿宋_GB2312" w:hAnsi="宋体" w:eastAsia="仿宋_GB2312"/>
                <w:bCs/>
                <w:color w:val="auto"/>
                <w:szCs w:val="21"/>
                <w:highlight w:val="none"/>
              </w:rPr>
              <w:t xml:space="preserve"> </w:t>
            </w:r>
            <w:r>
              <w:rPr>
                <w:rFonts w:hint="eastAsia" w:ascii="仿宋_GB2312" w:hAnsi="宋体" w:eastAsia="仿宋_GB2312"/>
                <w:b/>
                <w:color w:val="auto"/>
                <w:szCs w:val="21"/>
                <w:highlight w:val="none"/>
              </w:rPr>
              <w:t>（二）评分依据：</w:t>
            </w:r>
          </w:p>
          <w:p>
            <w:pPr>
              <w:spacing w:line="360" w:lineRule="atLeast"/>
              <w:jc w:val="left"/>
              <w:rPr>
                <w:rFonts w:hint="eastAsia" w:ascii="仿宋_GB2312" w:hAnsi="宋体" w:eastAsia="仿宋_GB2312"/>
                <w:bCs/>
                <w:color w:val="auto"/>
                <w:szCs w:val="21"/>
                <w:highlight w:val="none"/>
              </w:rPr>
            </w:pPr>
            <w:r>
              <w:rPr>
                <w:rFonts w:hint="eastAsia" w:ascii="仿宋_GB2312" w:hAnsi="宋体" w:eastAsia="仿宋_GB2312"/>
                <w:bCs/>
                <w:color w:val="auto"/>
                <w:szCs w:val="21"/>
                <w:highlight w:val="none"/>
              </w:rPr>
              <w:t xml:space="preserve">1、提供上述 </w:t>
            </w:r>
            <w:r>
              <w:rPr>
                <w:rFonts w:hint="eastAsia" w:ascii="仿宋_GB2312" w:hAnsi="宋体" w:eastAsia="仿宋_GB2312"/>
                <w:bCs/>
                <w:color w:val="auto"/>
                <w:szCs w:val="21"/>
                <w:highlight w:val="none"/>
                <w:lang w:val="en-US" w:eastAsia="zh-CN"/>
              </w:rPr>
              <w:t>3</w:t>
            </w:r>
            <w:r>
              <w:rPr>
                <w:rFonts w:hint="eastAsia" w:ascii="仿宋_GB2312" w:hAnsi="宋体" w:eastAsia="仿宋_GB2312"/>
                <w:bCs/>
                <w:color w:val="auto"/>
                <w:szCs w:val="21"/>
                <w:highlight w:val="none"/>
              </w:rPr>
              <w:t xml:space="preserve">项完整内容的得 </w:t>
            </w:r>
            <w:r>
              <w:rPr>
                <w:rFonts w:hint="eastAsia" w:ascii="仿宋_GB2312" w:hAnsi="宋体" w:eastAsia="仿宋_GB2312"/>
                <w:bCs/>
                <w:color w:val="auto"/>
                <w:szCs w:val="21"/>
                <w:highlight w:val="none"/>
                <w:lang w:val="en-US" w:eastAsia="zh-CN"/>
              </w:rPr>
              <w:t>6</w:t>
            </w:r>
            <w:r>
              <w:rPr>
                <w:rFonts w:hint="eastAsia" w:ascii="仿宋_GB2312" w:hAnsi="宋体" w:eastAsia="仿宋_GB2312"/>
                <w:bCs/>
                <w:color w:val="auto"/>
                <w:szCs w:val="21"/>
                <w:highlight w:val="none"/>
              </w:rPr>
              <w:t>0% ；每缺一项扣 20% 。 2、在此基础上，由评审</w:t>
            </w:r>
            <w:r>
              <w:rPr>
                <w:rFonts w:hint="eastAsia" w:ascii="仿宋_GB2312" w:hAnsi="宋体" w:eastAsia="仿宋_GB2312"/>
                <w:bCs/>
                <w:color w:val="auto"/>
                <w:szCs w:val="21"/>
                <w:highlight w:val="none"/>
                <w:lang w:val="en-US" w:eastAsia="zh-CN"/>
              </w:rPr>
              <w:t>小组</w:t>
            </w:r>
            <w:r>
              <w:rPr>
                <w:rFonts w:hint="eastAsia" w:ascii="仿宋_GB2312" w:hAnsi="宋体" w:eastAsia="仿宋_GB2312"/>
                <w:bCs/>
                <w:color w:val="auto"/>
                <w:szCs w:val="21"/>
                <w:highlight w:val="none"/>
              </w:rPr>
              <w:t xml:space="preserve">进行评价： （1）方案整体科学合理、针对性强、可操作性强，评审为优加 </w:t>
            </w:r>
            <w:r>
              <w:rPr>
                <w:rFonts w:hint="eastAsia" w:ascii="仿宋_GB2312" w:hAnsi="宋体" w:eastAsia="仿宋_GB2312"/>
                <w:bCs/>
                <w:color w:val="auto"/>
                <w:szCs w:val="21"/>
                <w:highlight w:val="none"/>
                <w:lang w:val="en-US" w:eastAsia="zh-CN"/>
              </w:rPr>
              <w:t>4</w:t>
            </w:r>
            <w:r>
              <w:rPr>
                <w:rFonts w:hint="eastAsia" w:ascii="仿宋_GB2312" w:hAnsi="宋体" w:eastAsia="仿宋_GB2312"/>
                <w:bCs/>
                <w:color w:val="auto"/>
                <w:szCs w:val="21"/>
                <w:highlight w:val="none"/>
              </w:rPr>
              <w:t>0% ； （2） 方案较合理、有一定针对性、一定可操作，评审为良加30% ； （3）方案不尽合理、针对性一般、可操作一般，评审中加 10% ； （4）方案不合理、无针对性、无可操作性，评审为差得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522" w:type="dxa"/>
            <w:vMerge w:val="continue"/>
            <w:tcBorders>
              <w:left w:val="single" w:color="auto" w:sz="4" w:space="0"/>
              <w:right w:val="single" w:color="auto" w:sz="4" w:space="0"/>
            </w:tcBorders>
            <w:vAlign w:val="center"/>
          </w:tcPr>
          <w:p>
            <w:pPr>
              <w:widowControl/>
              <w:spacing w:line="360" w:lineRule="atLeast"/>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lang w:eastAsia="zh-CN"/>
              </w:rPr>
            </w:pPr>
            <w:r>
              <w:rPr>
                <w:rFonts w:hint="eastAsia" w:ascii="仿宋_GB2312" w:hAnsi="宋体" w:eastAsia="仿宋_GB2312" w:cs="宋体"/>
                <w:color w:val="auto"/>
                <w:szCs w:val="21"/>
                <w:highlight w:val="none"/>
                <w:lang w:val="en-US" w:eastAsia="zh-CN"/>
              </w:rPr>
              <w:t>2</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bCs/>
                <w:color w:val="auto"/>
                <w:szCs w:val="21"/>
                <w:highlight w:val="none"/>
              </w:rPr>
            </w:pPr>
            <w:r>
              <w:rPr>
                <w:rFonts w:hint="eastAsia" w:ascii="仿宋_GB2312" w:eastAsia="仿宋_GB2312"/>
                <w:color w:val="auto"/>
                <w:szCs w:val="21"/>
                <w:highlight w:val="none"/>
              </w:rPr>
              <w:t>项目完成（服务期满）后的服务承诺</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15</w:t>
            </w:r>
          </w:p>
        </w:tc>
        <w:tc>
          <w:tcPr>
            <w:tcW w:w="552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tLeas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 xml:space="preserve">（一）评审内容： </w:t>
            </w:r>
          </w:p>
          <w:p>
            <w:pPr>
              <w:spacing w:line="360" w:lineRule="atLeast"/>
              <w:jc w:val="left"/>
              <w:rPr>
                <w:rFonts w:hint="eastAsia"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承诺能够及时、完整移交相关的项目资料；在项目服务过程中及完成后，按照采购人要求对相关资料进行再次修订和完善；服务期满后，持续解答采购人关于有关项目的疑问。</w:t>
            </w:r>
          </w:p>
          <w:p>
            <w:pPr>
              <w:adjustRightInd w:val="0"/>
              <w:snapToGrid w:val="0"/>
              <w:spacing w:line="360" w:lineRule="atLeas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 xml:space="preserve">（二）评审标准： </w:t>
            </w:r>
          </w:p>
          <w:p>
            <w:pPr>
              <w:spacing w:line="360" w:lineRule="atLeast"/>
              <w:jc w:val="left"/>
              <w:rPr>
                <w:rFonts w:hint="eastAsia" w:ascii="仿宋_GB2312" w:hAnsi="宋体" w:eastAsia="仿宋_GB2312"/>
                <w:bCs/>
                <w:color w:val="auto"/>
                <w:szCs w:val="21"/>
                <w:highlight w:val="none"/>
              </w:rPr>
            </w:pPr>
            <w:r>
              <w:rPr>
                <w:rFonts w:hint="eastAsia" w:ascii="仿宋_GB2312" w:hAnsi="宋体" w:eastAsia="仿宋_GB2312"/>
                <w:bCs/>
                <w:color w:val="auto"/>
                <w:szCs w:val="21"/>
                <w:highlight w:val="none"/>
              </w:rPr>
              <w:t>1、提供上述完整内容的得 40% 。</w:t>
            </w:r>
          </w:p>
          <w:p>
            <w:pPr>
              <w:spacing w:line="360" w:lineRule="atLeast"/>
              <w:jc w:val="left"/>
              <w:rPr>
                <w:rFonts w:hint="eastAsia" w:ascii="仿宋_GB2312" w:hAnsi="宋体" w:eastAsia="仿宋_GB2312"/>
                <w:color w:val="auto"/>
                <w:szCs w:val="21"/>
                <w:highlight w:val="none"/>
              </w:rPr>
            </w:pPr>
            <w:r>
              <w:rPr>
                <w:rFonts w:hint="eastAsia" w:ascii="仿宋_GB2312" w:hAnsi="宋体" w:eastAsia="仿宋_GB2312"/>
                <w:bCs/>
                <w:color w:val="auto"/>
                <w:szCs w:val="21"/>
                <w:highlight w:val="none"/>
              </w:rPr>
              <w:t>2、在此基础上，由评审</w:t>
            </w:r>
            <w:r>
              <w:rPr>
                <w:rFonts w:hint="eastAsia" w:ascii="仿宋_GB2312" w:hAnsi="宋体" w:eastAsia="仿宋_GB2312"/>
                <w:bCs/>
                <w:color w:val="auto"/>
                <w:szCs w:val="21"/>
                <w:highlight w:val="none"/>
                <w:lang w:val="en-US" w:eastAsia="zh-CN"/>
              </w:rPr>
              <w:t>小组</w:t>
            </w:r>
            <w:r>
              <w:rPr>
                <w:rFonts w:hint="eastAsia" w:ascii="仿宋_GB2312" w:hAnsi="宋体" w:eastAsia="仿宋_GB2312"/>
                <w:bCs/>
                <w:color w:val="auto"/>
                <w:szCs w:val="21"/>
                <w:highlight w:val="none"/>
              </w:rPr>
              <w:t xml:space="preserve">进行评价： </w:t>
            </w:r>
            <w:r>
              <w:rPr>
                <w:rFonts w:hint="eastAsia" w:ascii="仿宋_GB2312" w:hAnsi="宋体" w:eastAsia="仿宋_GB2312" w:cs="宋体"/>
                <w:color w:val="auto"/>
                <w:szCs w:val="21"/>
                <w:highlight w:val="none"/>
              </w:rPr>
              <w:t>服务承诺科学、完善、可操作性强，</w:t>
            </w:r>
            <w:r>
              <w:rPr>
                <w:rFonts w:hint="eastAsia" w:ascii="仿宋_GB2312" w:hAnsi="宋体" w:eastAsia="仿宋_GB2312"/>
                <w:bCs/>
                <w:color w:val="auto"/>
                <w:szCs w:val="21"/>
                <w:highlight w:val="none"/>
              </w:rPr>
              <w:t xml:space="preserve">评审为优加 60% </w:t>
            </w:r>
            <w:r>
              <w:rPr>
                <w:rFonts w:hint="eastAsia" w:ascii="仿宋_GB2312" w:hAnsi="宋体" w:eastAsia="仿宋_GB2312" w:cs="宋体"/>
                <w:color w:val="auto"/>
                <w:szCs w:val="21"/>
                <w:highlight w:val="none"/>
              </w:rPr>
              <w:t>；服务承诺科学、完善、可操作性较强好，</w:t>
            </w:r>
            <w:r>
              <w:rPr>
                <w:rFonts w:hint="eastAsia" w:ascii="仿宋_GB2312" w:hAnsi="宋体" w:eastAsia="仿宋_GB2312"/>
                <w:bCs/>
                <w:color w:val="auto"/>
                <w:szCs w:val="21"/>
                <w:highlight w:val="none"/>
              </w:rPr>
              <w:t>评审为良加40%</w:t>
            </w:r>
            <w:r>
              <w:rPr>
                <w:rFonts w:hint="eastAsia" w:ascii="仿宋_GB2312" w:hAnsi="宋体" w:eastAsia="仿宋_GB2312" w:cs="宋体"/>
                <w:color w:val="auto"/>
                <w:szCs w:val="21"/>
                <w:highlight w:val="none"/>
              </w:rPr>
              <w:t>；服务承诺科学、完善、可操作性一般，</w:t>
            </w:r>
            <w:r>
              <w:rPr>
                <w:rFonts w:hint="eastAsia" w:ascii="仿宋_GB2312" w:hAnsi="宋体" w:eastAsia="仿宋_GB2312"/>
                <w:bCs/>
                <w:color w:val="auto"/>
                <w:szCs w:val="21"/>
                <w:highlight w:val="none"/>
              </w:rPr>
              <w:t>评审为中加 20%</w:t>
            </w:r>
            <w:r>
              <w:rPr>
                <w:rFonts w:hint="eastAsia" w:ascii="仿宋_GB2312" w:hAnsi="宋体" w:eastAsia="仿宋_GB2312" w:cs="宋体"/>
                <w:color w:val="auto"/>
                <w:szCs w:val="21"/>
                <w:highlight w:val="none"/>
              </w:rPr>
              <w:t>；服务承诺不具体、不对应、操作性较差，不清晰或未提供，</w:t>
            </w:r>
            <w:r>
              <w:rPr>
                <w:rFonts w:hint="eastAsia" w:ascii="仿宋_GB2312" w:hAnsi="宋体" w:eastAsia="仿宋_GB2312"/>
                <w:bCs/>
                <w:color w:val="auto"/>
                <w:szCs w:val="21"/>
                <w:highlight w:val="none"/>
              </w:rPr>
              <w:t>评审为差得 0</w:t>
            </w:r>
            <w:r>
              <w:rPr>
                <w:rFonts w:hint="eastAsia" w:ascii="仿宋_GB2312" w:hAnsi="宋体" w:eastAsia="仿宋_GB2312"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522" w:type="dxa"/>
            <w:vMerge w:val="continue"/>
            <w:tcBorders>
              <w:left w:val="single" w:color="auto" w:sz="4" w:space="0"/>
              <w:right w:val="single" w:color="auto" w:sz="4" w:space="0"/>
            </w:tcBorders>
            <w:vAlign w:val="center"/>
          </w:tcPr>
          <w:p>
            <w:pPr>
              <w:widowControl/>
              <w:spacing w:line="360" w:lineRule="atLeast"/>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lang w:eastAsia="zh-CN"/>
              </w:rPr>
            </w:pPr>
            <w:r>
              <w:rPr>
                <w:rFonts w:hint="eastAsia" w:ascii="仿宋_GB2312" w:hAnsi="宋体" w:eastAsia="仿宋_GB2312" w:cs="宋体"/>
                <w:color w:val="auto"/>
                <w:szCs w:val="21"/>
                <w:highlight w:val="none"/>
                <w:lang w:val="en-US" w:eastAsia="zh-CN"/>
              </w:rPr>
              <w:t>3</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仿宋_GB2312" w:hAnsi="宋体" w:eastAsia="仿宋_GB2312"/>
                <w:bCs/>
                <w:color w:val="auto"/>
                <w:szCs w:val="21"/>
                <w:highlight w:val="none"/>
              </w:rPr>
            </w:pPr>
            <w:r>
              <w:rPr>
                <w:rFonts w:hint="eastAsia" w:ascii="仿宋_GB2312" w:hAnsi="宋体" w:eastAsia="仿宋_GB2312" w:cs="宋体"/>
                <w:color w:val="auto"/>
                <w:kern w:val="0"/>
                <w:szCs w:val="21"/>
                <w:highlight w:val="none"/>
                <w:lang w:bidi="ar"/>
              </w:rPr>
              <w:t>违约承诺</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10</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hint="eastAsia" w:ascii="仿宋_GB2312" w:eastAsia="仿宋_GB2312"/>
                <w:color w:val="auto"/>
                <w:szCs w:val="21"/>
                <w:highlight w:val="none"/>
              </w:rPr>
            </w:pPr>
            <w:r>
              <w:rPr>
                <w:rFonts w:hint="eastAsia" w:ascii="仿宋_GB2312" w:hAnsi="宋体" w:eastAsia="仿宋_GB2312"/>
                <w:b/>
                <w:color w:val="auto"/>
                <w:szCs w:val="21"/>
                <w:highlight w:val="none"/>
              </w:rPr>
              <w:t>（一）评审内容</w:t>
            </w:r>
            <w:r>
              <w:rPr>
                <w:rFonts w:hint="eastAsia" w:ascii="仿宋_GB2312" w:eastAsia="仿宋_GB2312"/>
                <w:color w:val="auto"/>
                <w:szCs w:val="21"/>
                <w:highlight w:val="none"/>
              </w:rPr>
              <w:t>：</w:t>
            </w:r>
          </w:p>
          <w:p>
            <w:pPr>
              <w:widowControl/>
              <w:spacing w:line="360" w:lineRule="atLeast"/>
              <w:jc w:val="left"/>
              <w:rPr>
                <w:rFonts w:hint="eastAsia" w:ascii="仿宋_GB2312" w:eastAsia="仿宋_GB2312"/>
                <w:color w:val="auto"/>
                <w:szCs w:val="21"/>
                <w:highlight w:val="none"/>
              </w:rPr>
            </w:pPr>
            <w:r>
              <w:rPr>
                <w:rFonts w:hint="eastAsia" w:ascii="仿宋_GB2312" w:hAnsi="宋体" w:eastAsia="仿宋_GB2312" w:cs="宋体"/>
                <w:color w:val="auto"/>
                <w:szCs w:val="21"/>
                <w:highlight w:val="none"/>
              </w:rPr>
              <w:t>提交违约承诺函，内容包括规定的项目完成时间、项目人员到位、项目文档齐全、承担</w:t>
            </w:r>
            <w:r>
              <w:rPr>
                <w:rFonts w:hint="eastAsia" w:ascii="仿宋_GB2312" w:hAnsi="宋体" w:eastAsia="仿宋_GB2312" w:cs="宋体"/>
                <w:color w:val="auto"/>
                <w:szCs w:val="21"/>
                <w:highlight w:val="none"/>
                <w:lang w:eastAsia="zh-CN"/>
              </w:rPr>
              <w:t>中标供应商</w:t>
            </w:r>
            <w:r>
              <w:rPr>
                <w:rFonts w:hint="eastAsia" w:ascii="仿宋_GB2312" w:hAnsi="宋体" w:eastAsia="仿宋_GB2312" w:cs="宋体"/>
                <w:color w:val="auto"/>
                <w:szCs w:val="21"/>
                <w:highlight w:val="none"/>
              </w:rPr>
              <w:t>的责任等4个方面的内容，未全部承诺的不得分。</w:t>
            </w:r>
          </w:p>
          <w:p>
            <w:pPr>
              <w:widowControl/>
              <w:spacing w:line="360" w:lineRule="atLeast"/>
              <w:jc w:val="left"/>
              <w:rPr>
                <w:rFonts w:hint="eastAsia" w:ascii="仿宋_GB2312" w:hAnsi="宋体" w:eastAsia="仿宋_GB2312"/>
                <w:bCs/>
                <w:color w:val="auto"/>
                <w:szCs w:val="21"/>
                <w:highlight w:val="none"/>
              </w:rPr>
            </w:pPr>
            <w:r>
              <w:rPr>
                <w:rFonts w:hint="eastAsia" w:ascii="仿宋_GB2312" w:hAnsi="宋体" w:eastAsia="仿宋_GB2312"/>
                <w:b/>
                <w:bCs/>
                <w:color w:val="auto"/>
                <w:szCs w:val="21"/>
                <w:highlight w:val="none"/>
              </w:rPr>
              <w:t xml:space="preserve">（二）评分依据： </w:t>
            </w:r>
          </w:p>
          <w:p>
            <w:pPr>
              <w:widowControl/>
              <w:spacing w:line="360" w:lineRule="atLeast"/>
              <w:jc w:val="left"/>
              <w:rPr>
                <w:rFonts w:hint="eastAsia" w:ascii="仿宋_GB2312" w:hAnsi="宋体" w:eastAsia="仿宋_GB2312" w:cs="宋体"/>
                <w:b/>
                <w:bCs/>
                <w:color w:val="auto"/>
                <w:kern w:val="0"/>
                <w:szCs w:val="21"/>
                <w:highlight w:val="none"/>
                <w:lang w:bidi="ar"/>
              </w:rPr>
            </w:pPr>
            <w:r>
              <w:rPr>
                <w:rFonts w:hint="eastAsia" w:ascii="仿宋_GB2312" w:hAnsi="宋体" w:eastAsia="仿宋_GB2312"/>
                <w:bCs/>
                <w:color w:val="auto"/>
                <w:szCs w:val="21"/>
                <w:highlight w:val="none"/>
              </w:rPr>
              <w:t>要求提供承诺（格式自定）作为得分依据，未提供承诺或承诺内容不全及不满足要求的不得分。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522" w:type="dxa"/>
            <w:tcBorders>
              <w:left w:val="single" w:color="auto" w:sz="4" w:space="0"/>
              <w:right w:val="single" w:color="auto" w:sz="4" w:space="0"/>
            </w:tcBorders>
            <w:vAlign w:val="center"/>
          </w:tcPr>
          <w:p>
            <w:pPr>
              <w:widowControl/>
              <w:spacing w:line="360" w:lineRule="atLeast"/>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lang w:eastAsia="zh-CN"/>
              </w:rPr>
            </w:pPr>
            <w:r>
              <w:rPr>
                <w:rFonts w:hint="eastAsia" w:ascii="仿宋_GB2312" w:hAnsi="宋体" w:eastAsia="仿宋_GB2312" w:cs="宋体"/>
                <w:color w:val="auto"/>
                <w:szCs w:val="21"/>
                <w:highlight w:val="none"/>
                <w:lang w:val="en-US" w:eastAsia="zh-CN"/>
              </w:rPr>
              <w:t>4</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仿宋_GB2312" w:hAnsi="宋体" w:eastAsia="仿宋_GB2312" w:cs="宋体"/>
                <w:color w:val="auto"/>
                <w:kern w:val="0"/>
                <w:szCs w:val="21"/>
                <w:highlight w:val="none"/>
                <w:lang w:bidi="ar"/>
              </w:rPr>
            </w:pPr>
            <w:r>
              <w:rPr>
                <w:rFonts w:hint="eastAsia" w:ascii="仿宋_GB2312" w:hAnsi="宋体" w:eastAsia="仿宋_GB2312" w:cs="宋体"/>
                <w:color w:val="auto"/>
                <w:kern w:val="0"/>
                <w:szCs w:val="21"/>
                <w:highlight w:val="none"/>
                <w:lang w:bidi="ar"/>
              </w:rPr>
              <w:t>廉洁从业措施</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default" w:ascii="仿宋_GB2312" w:hAnsi="宋体" w:eastAsia="仿宋_GB2312"/>
                <w:color w:val="auto"/>
                <w:szCs w:val="21"/>
                <w:highlight w:val="none"/>
                <w:lang w:val="en-US" w:eastAsia="zh-CN"/>
              </w:rPr>
            </w:pPr>
            <w:r>
              <w:rPr>
                <w:rFonts w:hint="eastAsia" w:ascii="仿宋_GB2312" w:hAnsi="宋体" w:eastAsia="仿宋_GB2312"/>
                <w:color w:val="auto"/>
                <w:szCs w:val="21"/>
                <w:highlight w:val="none"/>
                <w:lang w:val="en-US" w:eastAsia="zh-CN"/>
              </w:rPr>
              <w:t>10</w:t>
            </w:r>
          </w:p>
        </w:tc>
        <w:tc>
          <w:tcPr>
            <w:tcW w:w="5529"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left"/>
              <w:rPr>
                <w:rFonts w:hint="eastAsia" w:ascii="仿宋_GB2312" w:hAnsi="宋体" w:eastAsia="仿宋_GB2312"/>
                <w:b/>
                <w:color w:val="auto"/>
                <w:szCs w:val="21"/>
                <w:highlight w:val="none"/>
              </w:rPr>
            </w:pPr>
            <w:r>
              <w:rPr>
                <w:rFonts w:hint="eastAsia" w:ascii="仿宋_GB2312" w:hAnsi="宋体" w:eastAsia="仿宋_GB2312"/>
                <w:b/>
                <w:color w:val="auto"/>
                <w:szCs w:val="21"/>
                <w:highlight w:val="none"/>
              </w:rPr>
              <w:t>（一）评审内容：</w:t>
            </w:r>
          </w:p>
          <w:p>
            <w:pPr>
              <w:widowControl/>
              <w:spacing w:line="360" w:lineRule="atLeast"/>
              <w:jc w:val="left"/>
              <w:rPr>
                <w:rFonts w:hint="eastAsia" w:ascii="仿宋_GB2312" w:eastAsia="仿宋_GB2312"/>
                <w:color w:val="auto"/>
                <w:szCs w:val="21"/>
                <w:highlight w:val="none"/>
              </w:rPr>
            </w:pPr>
            <w:r>
              <w:rPr>
                <w:rFonts w:hint="eastAsia" w:ascii="仿宋_GB2312" w:hAnsi="宋体" w:eastAsia="仿宋_GB2312"/>
                <w:color w:val="auto"/>
                <w:szCs w:val="21"/>
                <w:highlight w:val="none"/>
              </w:rPr>
              <w:t>根据本项目服务需求，投标人提供</w:t>
            </w:r>
            <w:r>
              <w:rPr>
                <w:rFonts w:hint="eastAsia" w:ascii="仿宋_GB2312" w:eastAsia="仿宋_GB2312"/>
                <w:color w:val="auto"/>
                <w:szCs w:val="21"/>
                <w:highlight w:val="none"/>
              </w:rPr>
              <w:t>廉洁从业措施和相关机制。</w:t>
            </w:r>
          </w:p>
          <w:p>
            <w:pPr>
              <w:widowControl/>
              <w:numPr>
                <w:ilvl w:val="0"/>
                <w:numId w:val="1"/>
              </w:numPr>
              <w:spacing w:line="360" w:lineRule="atLeast"/>
              <w:ind w:left="0" w:leftChars="0" w:firstLine="0" w:firstLineChars="0"/>
              <w:jc w:val="lef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 xml:space="preserve">评分依据： </w:t>
            </w:r>
          </w:p>
          <w:p>
            <w:pPr>
              <w:spacing w:line="360" w:lineRule="atLeast"/>
              <w:jc w:val="left"/>
              <w:rPr>
                <w:rFonts w:hint="eastAsia" w:ascii="仿宋_GB2312" w:hAnsi="宋体" w:eastAsia="仿宋_GB2312"/>
                <w:bCs/>
                <w:color w:val="auto"/>
                <w:szCs w:val="21"/>
                <w:highlight w:val="none"/>
              </w:rPr>
            </w:pPr>
            <w:r>
              <w:rPr>
                <w:rFonts w:hint="eastAsia" w:ascii="仿宋_GB2312" w:hAnsi="宋体" w:eastAsia="仿宋_GB2312"/>
                <w:bCs/>
                <w:color w:val="auto"/>
                <w:szCs w:val="21"/>
                <w:highlight w:val="none"/>
              </w:rPr>
              <w:t>1、提供上述完整内容的得 40% 。</w:t>
            </w:r>
          </w:p>
          <w:p>
            <w:pPr>
              <w:adjustRightInd w:val="0"/>
              <w:snapToGrid w:val="0"/>
              <w:spacing w:line="360" w:lineRule="atLeast"/>
              <w:jc w:val="left"/>
              <w:rPr>
                <w:rFonts w:hint="eastAsia" w:ascii="仿宋_GB2312" w:eastAsia="仿宋_GB2312"/>
                <w:color w:val="auto"/>
                <w:szCs w:val="21"/>
                <w:highlight w:val="none"/>
              </w:rPr>
            </w:pPr>
            <w:r>
              <w:rPr>
                <w:rFonts w:hint="eastAsia" w:ascii="仿宋_GB2312" w:hAnsi="宋体" w:eastAsia="仿宋_GB2312"/>
                <w:bCs/>
                <w:color w:val="auto"/>
                <w:szCs w:val="21"/>
                <w:highlight w:val="none"/>
              </w:rPr>
              <w:t>2、在此基础上由评审</w:t>
            </w:r>
            <w:r>
              <w:rPr>
                <w:rFonts w:hint="eastAsia" w:ascii="仿宋_GB2312" w:hAnsi="宋体" w:eastAsia="仿宋_GB2312"/>
                <w:bCs/>
                <w:color w:val="auto"/>
                <w:szCs w:val="21"/>
                <w:highlight w:val="none"/>
                <w:lang w:val="en-US" w:eastAsia="zh-CN"/>
              </w:rPr>
              <w:t>小组</w:t>
            </w:r>
            <w:r>
              <w:rPr>
                <w:rFonts w:hint="eastAsia" w:ascii="仿宋_GB2312" w:hAnsi="宋体" w:eastAsia="仿宋_GB2312"/>
                <w:bCs/>
                <w:color w:val="auto"/>
                <w:szCs w:val="21"/>
                <w:highlight w:val="none"/>
              </w:rPr>
              <w:t>进行评价：（1）措施机制整体科学合理、针对性强、可操作性强，评审为优加 60% ；（2）措施机制较合理、有一定针对性、一定可操作，评审为良加40%； （3）措施机制不尽合理、针对性一般、可操作一般，评审为中加 20% ；（4）措施机制不合理、无针对性、无可操作性，评审为差得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2"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pPr>
              <w:spacing w:line="360" w:lineRule="atLeast"/>
              <w:jc w:val="center"/>
              <w:rPr>
                <w:rFonts w:hint="eastAsia" w:ascii="仿宋_GB2312" w:hAnsi="宋体" w:eastAsia="仿宋_GB2312" w:cs="宋体"/>
                <w:color w:val="auto"/>
                <w:szCs w:val="21"/>
                <w:highlight w:val="none"/>
                <w:lang w:val="en-US" w:eastAsia="zh-CN"/>
              </w:rPr>
            </w:pPr>
            <w:r>
              <w:rPr>
                <w:rFonts w:hint="eastAsia" w:ascii="仿宋_GB2312" w:hAnsi="宋体" w:eastAsia="仿宋_GB2312" w:cs="宋体"/>
                <w:color w:val="auto"/>
                <w:szCs w:val="21"/>
                <w:highlight w:val="none"/>
                <w:lang w:val="en-US" w:eastAsia="zh-CN"/>
              </w:rPr>
              <w:t>3</w:t>
            </w:r>
          </w:p>
        </w:tc>
        <w:tc>
          <w:tcPr>
            <w:tcW w:w="2988" w:type="dxa"/>
            <w:gridSpan w:val="3"/>
            <w:tcBorders>
              <w:top w:val="single" w:color="auto" w:sz="4" w:space="0"/>
              <w:left w:val="single" w:color="auto" w:sz="4" w:space="0"/>
              <w:bottom w:val="single" w:color="auto" w:sz="4" w:space="0"/>
              <w:right w:val="single" w:color="auto" w:sz="4" w:space="0"/>
            </w:tcBorders>
            <w:shd w:val="clear" w:color="auto" w:fill="DEEAF6" w:themeFill="accent1" w:themeFillTint="33"/>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olor w:val="auto"/>
                <w:szCs w:val="21"/>
                <w:highlight w:val="none"/>
              </w:rPr>
              <w:t>商务部分</w:t>
            </w:r>
          </w:p>
        </w:tc>
        <w:tc>
          <w:tcPr>
            <w:tcW w:w="5529" w:type="dxa"/>
            <w:tcBorders>
              <w:top w:val="single" w:color="auto" w:sz="4" w:space="0"/>
              <w:left w:val="single" w:color="auto" w:sz="4" w:space="0"/>
              <w:bottom w:val="single" w:color="auto" w:sz="4" w:space="0"/>
              <w:right w:val="single" w:color="auto" w:sz="4" w:space="0"/>
            </w:tcBorders>
            <w:shd w:val="clear" w:color="auto" w:fill="DEEAF6" w:themeFill="accent1" w:themeFillTint="33"/>
          </w:tcPr>
          <w:p>
            <w:pPr>
              <w:spacing w:line="360" w:lineRule="atLeast"/>
              <w:jc w:val="center"/>
              <w:rPr>
                <w:rFonts w:hint="default" w:ascii="仿宋_GB2312" w:hAnsi="宋体" w:eastAsia="仿宋_GB2312" w:cs="宋体"/>
                <w:color w:val="auto"/>
                <w:szCs w:val="21"/>
                <w:highlight w:val="none"/>
                <w:lang w:val="en-US" w:eastAsia="zh-CN"/>
              </w:rPr>
            </w:pPr>
            <w:r>
              <w:rPr>
                <w:rFonts w:hint="eastAsia" w:ascii="仿宋_GB2312" w:hAnsi="宋体" w:eastAsia="仿宋_GB2312" w:cs="宋体"/>
                <w:color w:val="auto"/>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522" w:type="dxa"/>
            <w:vMerge w:val="restart"/>
            <w:tcBorders>
              <w:top w:val="single" w:color="auto" w:sz="4" w:space="0"/>
              <w:left w:val="single" w:color="auto" w:sz="4" w:space="0"/>
              <w:right w:val="single" w:color="auto" w:sz="4" w:space="0"/>
            </w:tcBorders>
          </w:tcPr>
          <w:p>
            <w:pPr>
              <w:spacing w:line="360" w:lineRule="atLeast"/>
              <w:jc w:val="center"/>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序号</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内容</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权重</w:t>
            </w:r>
          </w:p>
        </w:tc>
        <w:tc>
          <w:tcPr>
            <w:tcW w:w="552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522" w:type="dxa"/>
            <w:vMerge w:val="continue"/>
            <w:tcBorders>
              <w:left w:val="single" w:color="auto" w:sz="4" w:space="0"/>
              <w:right w:val="single" w:color="auto" w:sz="4" w:space="0"/>
            </w:tcBorders>
            <w:vAlign w:val="center"/>
          </w:tcPr>
          <w:p>
            <w:pPr>
              <w:widowControl/>
              <w:spacing w:line="360" w:lineRule="atLeast"/>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1</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仿宋_GB2312" w:hAnsi="宋体" w:eastAsia="仿宋_GB2312"/>
                <w:color w:val="auto"/>
                <w:szCs w:val="21"/>
                <w:highlight w:val="none"/>
              </w:rPr>
            </w:pPr>
            <w:r>
              <w:rPr>
                <w:rFonts w:hint="eastAsia" w:ascii="仿宋_GB2312" w:hAnsi="宋体" w:eastAsia="仿宋_GB2312" w:cs="宋体"/>
                <w:color w:val="auto"/>
                <w:kern w:val="0"/>
                <w:szCs w:val="21"/>
                <w:highlight w:val="none"/>
                <w:lang w:bidi="ar"/>
              </w:rPr>
              <w:t>投标人同类项目业绩情况</w:t>
            </w:r>
          </w:p>
          <w:p>
            <w:pPr>
              <w:spacing w:line="360" w:lineRule="atLeast"/>
              <w:jc w:val="center"/>
              <w:rPr>
                <w:rFonts w:hint="eastAsia" w:ascii="仿宋_GB2312" w:hAnsi="宋体" w:eastAsia="仿宋_GB2312" w:cs="宋体"/>
                <w:color w:val="auto"/>
                <w:szCs w:val="21"/>
                <w:highlight w:val="none"/>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default" w:ascii="仿宋_GB2312" w:hAnsi="宋体" w:eastAsia="仿宋_GB2312" w:cs="宋体"/>
                <w:color w:val="auto"/>
                <w:szCs w:val="21"/>
                <w:highlight w:val="none"/>
                <w:lang w:val="en-US" w:eastAsia="zh-CN"/>
              </w:rPr>
            </w:pPr>
            <w:r>
              <w:rPr>
                <w:rFonts w:hint="eastAsia" w:ascii="仿宋_GB2312" w:hAnsi="宋体" w:eastAsia="仿宋_GB2312" w:cs="宋体"/>
                <w:color w:val="auto"/>
                <w:szCs w:val="21"/>
                <w:highlight w:val="none"/>
                <w:lang w:val="en-US" w:eastAsia="zh-CN"/>
              </w:rPr>
              <w:t>15</w:t>
            </w:r>
          </w:p>
        </w:tc>
        <w:tc>
          <w:tcPr>
            <w:tcW w:w="552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 xml:space="preserve">（一）评审内容： </w:t>
            </w:r>
          </w:p>
          <w:p>
            <w:pPr>
              <w:widowControl/>
              <w:spacing w:line="360" w:lineRule="atLeast"/>
              <w:jc w:val="lef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近三年（自2020年1月1日至招标公告发布之日止，以合同签订时间为准）投标人承接过</w:t>
            </w:r>
            <w:r>
              <w:rPr>
                <w:rFonts w:hint="eastAsia" w:ascii="仿宋_GB2312" w:hAnsi="宋体" w:eastAsia="仿宋_GB2312"/>
                <w:bCs/>
                <w:color w:val="auto"/>
                <w:szCs w:val="21"/>
                <w:highlight w:val="none"/>
              </w:rPr>
              <w:t>工程项目造价咨询</w:t>
            </w:r>
            <w:r>
              <w:rPr>
                <w:rFonts w:hint="eastAsia" w:ascii="仿宋_GB2312" w:hAnsi="宋体" w:eastAsia="仿宋_GB2312"/>
                <w:color w:val="auto"/>
                <w:szCs w:val="21"/>
                <w:highlight w:val="none"/>
              </w:rPr>
              <w:t>服务类业绩，每个得20%，最高得100%。</w:t>
            </w:r>
          </w:p>
          <w:p>
            <w:pPr>
              <w:widowControl/>
              <w:spacing w:line="360" w:lineRule="atLeast"/>
              <w:jc w:val="lef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 xml:space="preserve">（二）评分依据： </w:t>
            </w:r>
          </w:p>
          <w:p>
            <w:pPr>
              <w:widowControl/>
              <w:spacing w:line="360" w:lineRule="atLeast"/>
              <w:jc w:val="lef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投标单位提供以下两项之一的证明资料即可得分（满足其一即可）：</w:t>
            </w:r>
          </w:p>
          <w:p>
            <w:pPr>
              <w:widowControl/>
              <w:numPr>
                <w:ilvl w:val="0"/>
                <w:numId w:val="2"/>
              </w:numPr>
              <w:spacing w:line="360" w:lineRule="atLeast"/>
              <w:jc w:val="left"/>
              <w:rPr>
                <w:rFonts w:hint="eastAsia" w:ascii="仿宋_GB2312" w:hAnsi="宋体" w:eastAsia="仿宋_GB2312" w:cs="宋体"/>
                <w:color w:val="auto"/>
                <w:szCs w:val="21"/>
                <w:highlight w:val="none"/>
              </w:rPr>
            </w:pPr>
            <w:r>
              <w:rPr>
                <w:rFonts w:hint="eastAsia" w:ascii="仿宋_GB2312" w:hAnsi="宋体" w:eastAsia="仿宋_GB2312"/>
                <w:color w:val="auto"/>
                <w:szCs w:val="21"/>
                <w:highlight w:val="none"/>
              </w:rPr>
              <w:t>同时提供合同关键信息</w:t>
            </w:r>
            <w:r>
              <w:rPr>
                <w:rFonts w:hint="eastAsia" w:ascii="仿宋_GB2312" w:hAnsi="宋体" w:eastAsia="仿宋_GB2312" w:cs="宋体"/>
                <w:color w:val="auto"/>
                <w:szCs w:val="21"/>
                <w:highlight w:val="none"/>
              </w:rPr>
              <w:t>页及中标通知书扫描件，原件备查；</w:t>
            </w:r>
          </w:p>
          <w:p>
            <w:pPr>
              <w:widowControl/>
              <w:numPr>
                <w:ilvl w:val="0"/>
                <w:numId w:val="2"/>
              </w:numPr>
              <w:spacing w:line="360" w:lineRule="atLeast"/>
              <w:jc w:val="lef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同时提供合同关键信息</w:t>
            </w:r>
            <w:r>
              <w:rPr>
                <w:rFonts w:hint="eastAsia" w:ascii="仿宋_GB2312" w:hAnsi="宋体" w:eastAsia="仿宋_GB2312" w:cs="宋体"/>
                <w:color w:val="auto"/>
                <w:szCs w:val="21"/>
                <w:highlight w:val="none"/>
              </w:rPr>
              <w:t>页及一份发票扫描件，</w:t>
            </w:r>
            <w:r>
              <w:rPr>
                <w:rFonts w:hint="eastAsia" w:ascii="仿宋_GB2312" w:hAnsi="宋体" w:eastAsia="仿宋_GB2312"/>
                <w:color w:val="auto"/>
                <w:szCs w:val="21"/>
                <w:highlight w:val="none"/>
              </w:rPr>
              <w:t>原件备查。</w:t>
            </w:r>
          </w:p>
          <w:p>
            <w:pPr>
              <w:widowControl/>
              <w:spacing w:line="360" w:lineRule="atLeast"/>
              <w:jc w:val="lef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 xml:space="preserve">评分中出现无证明资料或专家无法凭所提供资料判断是否得分的情况，一律作不得分处理。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522" w:type="dxa"/>
            <w:vMerge w:val="continue"/>
            <w:tcBorders>
              <w:left w:val="single" w:color="auto" w:sz="4" w:space="0"/>
              <w:right w:val="single" w:color="auto" w:sz="4" w:space="0"/>
            </w:tcBorders>
            <w:vAlign w:val="center"/>
          </w:tcPr>
          <w:p>
            <w:pPr>
              <w:widowControl/>
              <w:spacing w:line="360" w:lineRule="atLeast"/>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hint="eastAsia" w:ascii="仿宋_GB2312" w:hAnsi="宋体" w:eastAsia="仿宋_GB2312"/>
                <w:bCs/>
                <w:color w:val="auto"/>
                <w:szCs w:val="21"/>
                <w:highlight w:val="none"/>
              </w:rPr>
            </w:pPr>
          </w:p>
          <w:p>
            <w:pPr>
              <w:spacing w:line="360" w:lineRule="atLeast"/>
              <w:rPr>
                <w:rFonts w:hint="eastAsia" w:ascii="仿宋_GB2312" w:hAnsi="宋体" w:eastAsia="仿宋_GB2312"/>
                <w:bCs/>
                <w:color w:val="auto"/>
                <w:szCs w:val="21"/>
                <w:highlight w:val="none"/>
              </w:rPr>
            </w:pPr>
          </w:p>
          <w:p>
            <w:pPr>
              <w:spacing w:line="360" w:lineRule="atLeast"/>
              <w:rPr>
                <w:rFonts w:hint="eastAsia" w:ascii="仿宋_GB2312" w:hAnsi="宋体" w:eastAsia="仿宋_GB2312"/>
                <w:bCs/>
                <w:color w:val="auto"/>
                <w:szCs w:val="21"/>
                <w:highlight w:val="none"/>
              </w:rPr>
            </w:pPr>
          </w:p>
          <w:p>
            <w:pPr>
              <w:spacing w:line="360" w:lineRule="atLeast"/>
              <w:rPr>
                <w:rFonts w:hint="eastAsia" w:ascii="仿宋_GB2312" w:hAnsi="宋体" w:eastAsia="仿宋_GB2312"/>
                <w:bCs/>
                <w:color w:val="auto"/>
                <w:szCs w:val="21"/>
                <w:highlight w:val="none"/>
              </w:rPr>
            </w:pPr>
          </w:p>
          <w:p>
            <w:pPr>
              <w:spacing w:line="360" w:lineRule="atLeast"/>
              <w:rPr>
                <w:rFonts w:hint="eastAsia" w:ascii="仿宋_GB2312" w:hAnsi="宋体" w:eastAsia="仿宋_GB2312"/>
                <w:bCs/>
                <w:color w:val="auto"/>
                <w:szCs w:val="21"/>
                <w:highlight w:val="none"/>
              </w:rPr>
            </w:pPr>
          </w:p>
          <w:p>
            <w:pPr>
              <w:spacing w:line="360" w:lineRule="atLeast"/>
              <w:rPr>
                <w:rFonts w:hint="eastAsia" w:ascii="仿宋_GB2312" w:hAnsi="宋体" w:eastAsia="仿宋_GB2312" w:cs="宋体"/>
                <w:color w:val="auto"/>
                <w:szCs w:val="21"/>
                <w:highlight w:val="none"/>
              </w:rPr>
            </w:pPr>
            <w:r>
              <w:rPr>
                <w:rFonts w:hint="eastAsia" w:ascii="仿宋_GB2312" w:hAnsi="宋体" w:eastAsia="仿宋_GB2312"/>
                <w:bCs/>
                <w:color w:val="auto"/>
                <w:szCs w:val="21"/>
                <w:highlight w:val="none"/>
              </w:rPr>
              <w:t>拟派本项目负责人（仅限1人）</w:t>
            </w: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olor w:val="auto"/>
                <w:szCs w:val="21"/>
                <w:highlight w:val="none"/>
              </w:rPr>
            </w:pPr>
          </w:p>
          <w:p>
            <w:pPr>
              <w:spacing w:line="360" w:lineRule="atLeast"/>
              <w:jc w:val="center"/>
              <w:rPr>
                <w:rFonts w:hint="eastAsia" w:ascii="仿宋_GB2312" w:hAnsi="宋体" w:eastAsia="仿宋_GB2312"/>
                <w:color w:val="auto"/>
                <w:szCs w:val="21"/>
                <w:highlight w:val="none"/>
              </w:rPr>
            </w:pPr>
          </w:p>
          <w:p>
            <w:pPr>
              <w:spacing w:line="360" w:lineRule="atLeast"/>
              <w:jc w:val="center"/>
              <w:rPr>
                <w:rFonts w:hint="eastAsia" w:ascii="仿宋_GB2312" w:hAnsi="宋体" w:eastAsia="仿宋_GB2312"/>
                <w:color w:val="auto"/>
                <w:szCs w:val="21"/>
                <w:highlight w:val="none"/>
              </w:rPr>
            </w:pPr>
          </w:p>
          <w:p>
            <w:pPr>
              <w:spacing w:line="360" w:lineRule="atLeast"/>
              <w:jc w:val="center"/>
              <w:rPr>
                <w:rFonts w:hint="eastAsia" w:ascii="仿宋_GB2312" w:hAnsi="宋体" w:eastAsia="仿宋_GB2312"/>
                <w:color w:val="auto"/>
                <w:szCs w:val="21"/>
                <w:highlight w:val="none"/>
              </w:rPr>
            </w:pPr>
          </w:p>
          <w:p>
            <w:pPr>
              <w:spacing w:line="360" w:lineRule="atLeast"/>
              <w:jc w:val="center"/>
              <w:rPr>
                <w:rFonts w:hint="eastAsia" w:ascii="仿宋_GB2312" w:hAnsi="宋体" w:eastAsia="仿宋_GB2312"/>
                <w:color w:val="auto"/>
                <w:szCs w:val="21"/>
                <w:highlight w:val="none"/>
              </w:rPr>
            </w:pPr>
          </w:p>
          <w:p>
            <w:pPr>
              <w:spacing w:line="360" w:lineRule="atLeast"/>
              <w:jc w:val="center"/>
              <w:rPr>
                <w:rFonts w:hint="default" w:ascii="仿宋_GB2312" w:hAnsi="宋体" w:eastAsia="仿宋_GB2312" w:cs="宋体"/>
                <w:color w:val="auto"/>
                <w:szCs w:val="21"/>
                <w:highlight w:val="none"/>
                <w:lang w:val="en-US" w:eastAsia="zh-CN"/>
              </w:rPr>
            </w:pPr>
            <w:r>
              <w:rPr>
                <w:rFonts w:hint="eastAsia" w:ascii="仿宋_GB2312" w:hAnsi="宋体" w:eastAsia="仿宋_GB2312"/>
                <w:color w:val="auto"/>
                <w:szCs w:val="21"/>
                <w:highlight w:val="none"/>
                <w:lang w:val="en-US" w:eastAsia="zh-CN"/>
              </w:rPr>
              <w:t>10</w:t>
            </w:r>
          </w:p>
        </w:tc>
        <w:tc>
          <w:tcPr>
            <w:tcW w:w="5529" w:type="dxa"/>
            <w:tcBorders>
              <w:top w:val="single" w:color="auto" w:sz="4" w:space="0"/>
              <w:left w:val="single" w:color="auto" w:sz="4" w:space="0"/>
              <w:bottom w:val="single" w:color="auto" w:sz="4" w:space="0"/>
              <w:right w:val="single" w:color="auto" w:sz="4" w:space="0"/>
            </w:tcBorders>
          </w:tcPr>
          <w:p>
            <w:pPr>
              <w:spacing w:line="360" w:lineRule="atLeast"/>
              <w:jc w:val="left"/>
              <w:rPr>
                <w:rFonts w:hint="eastAsia" w:ascii="仿宋_GB2312" w:hAnsi="宋体" w:eastAsia="仿宋_GB2312" w:cs="宋体"/>
                <w:b/>
                <w:bCs/>
                <w:color w:val="auto"/>
                <w:szCs w:val="21"/>
                <w:highlight w:val="none"/>
              </w:rPr>
            </w:pPr>
            <w:r>
              <w:rPr>
                <w:rFonts w:hint="eastAsia" w:ascii="仿宋_GB2312" w:hAnsi="宋体" w:eastAsia="仿宋_GB2312" w:cs="宋体"/>
                <w:b/>
                <w:bCs/>
                <w:color w:val="auto"/>
                <w:szCs w:val="21"/>
                <w:highlight w:val="none"/>
              </w:rPr>
              <w:t>（一）评审内容：</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拟安排的项目负责人满足以下要求：</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1、具有</w:t>
            </w:r>
            <w:r>
              <w:rPr>
                <w:rFonts w:hint="eastAsia" w:ascii="仿宋_GB2312" w:hAnsi="宋体" w:eastAsia="仿宋_GB2312"/>
                <w:color w:val="auto"/>
                <w:szCs w:val="21"/>
                <w:highlight w:val="none"/>
                <w:lang w:val="en-US" w:eastAsia="zh-CN"/>
              </w:rPr>
              <w:t>一级</w:t>
            </w:r>
            <w:r>
              <w:rPr>
                <w:rFonts w:hint="eastAsia" w:ascii="仿宋_GB2312" w:hAnsi="宋体" w:eastAsia="仿宋_GB2312" w:cs="宋体"/>
                <w:color w:val="auto"/>
                <w:szCs w:val="21"/>
                <w:highlight w:val="none"/>
              </w:rPr>
              <w:t>注册造价工程师</w:t>
            </w:r>
            <w:r>
              <w:rPr>
                <w:rFonts w:hint="eastAsia" w:ascii="仿宋_GB2312" w:hAnsi="宋体" w:eastAsia="仿宋_GB2312" w:cs="宋体"/>
                <w:color w:val="auto"/>
                <w:szCs w:val="21"/>
                <w:highlight w:val="none"/>
                <w:lang w:val="en-US" w:eastAsia="zh-CN"/>
              </w:rPr>
              <w:t>同时</w:t>
            </w:r>
            <w:r>
              <w:rPr>
                <w:rFonts w:hint="eastAsia" w:ascii="仿宋_GB2312" w:hAnsi="宋体" w:eastAsia="仿宋_GB2312"/>
                <w:bCs/>
                <w:color w:val="auto"/>
                <w:szCs w:val="21"/>
                <w:highlight w:val="none"/>
              </w:rPr>
              <w:t>具有建筑工程相关专业中级及以上技术专业职称</w:t>
            </w:r>
            <w:r>
              <w:rPr>
                <w:rFonts w:hint="eastAsia" w:ascii="仿宋_GB2312" w:hAnsi="宋体" w:eastAsia="仿宋_GB2312"/>
                <w:bCs/>
                <w:color w:val="auto"/>
                <w:szCs w:val="21"/>
                <w:highlight w:val="none"/>
                <w:lang w:eastAsia="zh-CN"/>
              </w:rPr>
              <w:t>，</w:t>
            </w:r>
            <w:r>
              <w:rPr>
                <w:rFonts w:hint="eastAsia" w:ascii="仿宋_GB2312" w:hAnsi="宋体" w:eastAsia="仿宋_GB2312"/>
                <w:color w:val="auto"/>
                <w:szCs w:val="21"/>
                <w:highlight w:val="none"/>
              </w:rPr>
              <w:t>且注册在投标单位</w:t>
            </w:r>
            <w:r>
              <w:rPr>
                <w:rFonts w:hint="eastAsia" w:ascii="仿宋_GB2312" w:hAnsi="宋体" w:eastAsia="仿宋_GB2312"/>
                <w:color w:val="auto"/>
                <w:szCs w:val="21"/>
                <w:highlight w:val="none"/>
                <w:lang w:val="en-US" w:eastAsia="zh-CN"/>
              </w:rPr>
              <w:t>的</w:t>
            </w:r>
            <w:r>
              <w:rPr>
                <w:rFonts w:hint="eastAsia" w:ascii="仿宋_GB2312" w:hAnsi="宋体" w:eastAsia="仿宋_GB2312"/>
                <w:color w:val="auto"/>
                <w:szCs w:val="21"/>
                <w:highlight w:val="none"/>
              </w:rPr>
              <w:t>，得50%；</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2、在2020年1 月1 日至投标截止日（以咨询成果文件上的时间为准），作为项目负责人，主持完成过</w:t>
            </w:r>
            <w:r>
              <w:rPr>
                <w:rFonts w:hint="eastAsia" w:ascii="仿宋_GB2312" w:hAnsi="宋体" w:eastAsia="仿宋_GB2312"/>
                <w:bCs/>
                <w:color w:val="auto"/>
                <w:szCs w:val="21"/>
                <w:highlight w:val="none"/>
              </w:rPr>
              <w:t>工程项目造价咨询</w:t>
            </w:r>
            <w:r>
              <w:rPr>
                <w:rFonts w:hint="eastAsia" w:ascii="仿宋_GB2312" w:hAnsi="宋体" w:eastAsia="仿宋_GB2312"/>
                <w:color w:val="auto"/>
                <w:szCs w:val="21"/>
                <w:highlight w:val="none"/>
              </w:rPr>
              <w:t>服务类同类项目的工作，每提供一个项目经验得</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25%，本小项累计最高得50%。；</w:t>
            </w:r>
          </w:p>
          <w:p>
            <w:pPr>
              <w:spacing w:line="360" w:lineRule="atLeast"/>
              <w:jc w:val="left"/>
              <w:rPr>
                <w:rFonts w:hint="eastAsia" w:ascii="仿宋_GB2312" w:hAnsi="宋体" w:eastAsia="仿宋_GB2312" w:cs="宋体"/>
                <w:b/>
                <w:bCs/>
                <w:color w:val="auto"/>
                <w:szCs w:val="21"/>
                <w:highlight w:val="none"/>
              </w:rPr>
            </w:pPr>
            <w:r>
              <w:rPr>
                <w:rFonts w:hint="eastAsia" w:ascii="仿宋_GB2312" w:hAnsi="宋体" w:eastAsia="仿宋_GB2312" w:cs="宋体"/>
                <w:b/>
                <w:bCs/>
                <w:color w:val="auto"/>
                <w:szCs w:val="21"/>
                <w:highlight w:val="none"/>
              </w:rPr>
              <w:t>（二）评分依据：</w:t>
            </w:r>
          </w:p>
          <w:p>
            <w:pPr>
              <w:spacing w:line="360" w:lineRule="atLeast"/>
              <w:rPr>
                <w:rFonts w:hint="eastAsia" w:ascii="仿宋_GB2312" w:hAnsi="宋体" w:eastAsia="仿宋_GB2312" w:cs="宋体"/>
                <w:b/>
                <w:bCs/>
                <w:color w:val="auto"/>
                <w:szCs w:val="21"/>
                <w:highlight w:val="none"/>
              </w:rPr>
            </w:pPr>
            <w:r>
              <w:rPr>
                <w:rFonts w:hint="eastAsia" w:ascii="仿宋_GB2312" w:hAnsi="宋体" w:eastAsia="仿宋_GB2312" w:cs="宋体"/>
                <w:color w:val="auto"/>
                <w:szCs w:val="21"/>
                <w:highlight w:val="none"/>
              </w:rPr>
              <w:t>1.</w:t>
            </w:r>
            <w:r>
              <w:rPr>
                <w:rFonts w:hint="eastAsia" w:ascii="仿宋_GB2312" w:hAnsi="宋体" w:eastAsia="仿宋_GB2312"/>
                <w:color w:val="auto"/>
                <w:szCs w:val="21"/>
                <w:highlight w:val="none"/>
              </w:rPr>
              <w:t>提供</w:t>
            </w:r>
            <w:r>
              <w:rPr>
                <w:rFonts w:hint="eastAsia" w:ascii="仿宋_GB2312" w:hAnsi="宋体" w:eastAsia="仿宋_GB2312"/>
                <w:bCs/>
                <w:color w:val="auto"/>
                <w:szCs w:val="21"/>
                <w:highlight w:val="none"/>
              </w:rPr>
              <w:t>项目负责人</w:t>
            </w:r>
            <w:r>
              <w:rPr>
                <w:rFonts w:hint="eastAsia" w:ascii="仿宋_GB2312" w:hAnsi="宋体" w:eastAsia="仿宋_GB2312"/>
                <w:color w:val="auto"/>
                <w:szCs w:val="21"/>
                <w:highlight w:val="none"/>
              </w:rPr>
              <w:t>近3个月在投标单位缴纳的社保证明(社保部门资料或网页资料或窗口打印资料均可)作为得分前提，原件备查</w:t>
            </w:r>
            <w:r>
              <w:rPr>
                <w:rFonts w:hint="eastAsia" w:ascii="仿宋_GB2312" w:hAnsi="宋体" w:eastAsia="仿宋_GB2312" w:cs="宋体"/>
                <w:color w:val="auto"/>
                <w:szCs w:val="21"/>
                <w:highlight w:val="none"/>
              </w:rPr>
              <w:t>；如开标日当月或上一个月的社保材料因社保部门原因暂时无法取得，则可以往前顺延一个月；</w:t>
            </w:r>
            <w:r>
              <w:rPr>
                <w:rFonts w:hint="eastAsia" w:ascii="仿宋_GB2312" w:hAnsi="宋体" w:eastAsia="仿宋_GB2312" w:cs="宋体"/>
                <w:b/>
                <w:bCs/>
                <w:color w:val="auto"/>
                <w:szCs w:val="21"/>
                <w:highlight w:val="none"/>
              </w:rPr>
              <w:t>退休返聘人员不满足要求。</w:t>
            </w:r>
          </w:p>
          <w:p>
            <w:pPr>
              <w:spacing w:line="360" w:lineRule="atLeas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2.提供相关</w:t>
            </w:r>
            <w:r>
              <w:rPr>
                <w:rFonts w:hint="eastAsia" w:ascii="仿宋_GB2312" w:hAnsi="宋体" w:eastAsia="仿宋_GB2312"/>
                <w:color w:val="auto"/>
                <w:szCs w:val="21"/>
                <w:highlight w:val="none"/>
              </w:rPr>
              <w:t>注册证书</w:t>
            </w:r>
            <w:r>
              <w:rPr>
                <w:rFonts w:hint="eastAsia" w:ascii="仿宋_GB2312" w:hAnsi="宋体" w:eastAsia="仿宋_GB2312" w:cs="宋体"/>
                <w:color w:val="auto"/>
                <w:szCs w:val="21"/>
                <w:highlight w:val="none"/>
              </w:rPr>
              <w:t>/人员职称/资格证书扫描件作为得分依据，原件备查。</w:t>
            </w:r>
          </w:p>
          <w:p>
            <w:pPr>
              <w:spacing w:line="360" w:lineRule="atLeas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3.提供合同（须明确负责人）、被服务单位出具的证明书等能证明其作为项目负责人主持完成过同类项目的证明文件作为得分前提，原件备查。</w:t>
            </w:r>
          </w:p>
          <w:p>
            <w:pPr>
              <w:spacing w:line="360" w:lineRule="atLeas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522" w:type="dxa"/>
            <w:vMerge w:val="continue"/>
            <w:tcBorders>
              <w:left w:val="single" w:color="auto" w:sz="4" w:space="0"/>
              <w:right w:val="single" w:color="auto" w:sz="4" w:space="0"/>
            </w:tcBorders>
            <w:vAlign w:val="center"/>
          </w:tcPr>
          <w:p>
            <w:pPr>
              <w:widowControl/>
              <w:spacing w:line="360" w:lineRule="atLeast"/>
              <w:ind w:firstLine="105" w:firstLineChars="50"/>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w:t>
            </w:r>
          </w:p>
        </w:tc>
        <w:tc>
          <w:tcPr>
            <w:tcW w:w="1647"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仿宋_GB2312" w:hAnsi="宋体" w:eastAsia="仿宋_GB2312"/>
                <w:color w:val="auto"/>
                <w:szCs w:val="21"/>
                <w:highlight w:val="none"/>
              </w:rPr>
            </w:pPr>
            <w:r>
              <w:rPr>
                <w:rFonts w:hint="eastAsia" w:ascii="仿宋_GB2312" w:hAnsi="宋体" w:eastAsia="仿宋_GB2312" w:cs="宋体"/>
                <w:color w:val="auto"/>
                <w:kern w:val="0"/>
                <w:szCs w:val="21"/>
                <w:highlight w:val="none"/>
                <w:lang w:bidi="ar"/>
              </w:rPr>
              <w:t>拟安排的项目团队成员（主</w:t>
            </w:r>
          </w:p>
          <w:p>
            <w:pPr>
              <w:widowControl/>
              <w:spacing w:line="360" w:lineRule="atLeast"/>
              <w:jc w:val="center"/>
              <w:rPr>
                <w:rFonts w:hint="eastAsia" w:ascii="仿宋_GB2312" w:hAnsi="宋体" w:eastAsia="仿宋_GB2312"/>
                <w:color w:val="auto"/>
                <w:szCs w:val="21"/>
                <w:highlight w:val="none"/>
              </w:rPr>
            </w:pPr>
            <w:r>
              <w:rPr>
                <w:rFonts w:hint="eastAsia" w:ascii="仿宋_GB2312" w:hAnsi="宋体" w:eastAsia="仿宋_GB2312" w:cs="宋体"/>
                <w:color w:val="auto"/>
                <w:kern w:val="0"/>
                <w:szCs w:val="21"/>
                <w:highlight w:val="none"/>
                <w:lang w:bidi="ar"/>
              </w:rPr>
              <w:t>要技术人员）情况（项目</w:t>
            </w:r>
            <w:r>
              <w:rPr>
                <w:rFonts w:hint="eastAsia" w:ascii="仿宋_GB2312" w:hAnsi="宋体" w:eastAsia="仿宋_GB2312"/>
                <w:bCs/>
                <w:color w:val="auto"/>
                <w:szCs w:val="21"/>
                <w:highlight w:val="none"/>
              </w:rPr>
              <w:t>负责人除外</w:t>
            </w:r>
            <w:r>
              <w:rPr>
                <w:rFonts w:hint="eastAsia" w:ascii="仿宋_GB2312" w:hAnsi="宋体" w:eastAsia="仿宋_GB2312" w:cs="宋体"/>
                <w:color w:val="auto"/>
                <w:kern w:val="0"/>
                <w:szCs w:val="21"/>
                <w:highlight w:val="none"/>
                <w:lang w:bidi="ar"/>
              </w:rPr>
              <w:t>）</w:t>
            </w:r>
          </w:p>
          <w:p>
            <w:pPr>
              <w:spacing w:line="360" w:lineRule="atLeast"/>
              <w:jc w:val="center"/>
              <w:rPr>
                <w:rFonts w:hint="eastAsia" w:ascii="仿宋_GB2312" w:hAnsi="宋体" w:eastAsia="仿宋_GB2312" w:cs="宋体"/>
                <w:color w:val="auto"/>
                <w:szCs w:val="21"/>
                <w:highlight w:val="none"/>
              </w:rPr>
            </w:pPr>
          </w:p>
        </w:tc>
        <w:tc>
          <w:tcPr>
            <w:tcW w:w="791"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lang w:val="en-US" w:eastAsia="zh-CN"/>
              </w:rPr>
            </w:pPr>
            <w:r>
              <w:rPr>
                <w:rFonts w:hint="eastAsia" w:ascii="仿宋_GB2312" w:hAnsi="宋体" w:eastAsia="仿宋_GB2312"/>
                <w:color w:val="auto"/>
                <w:szCs w:val="21"/>
                <w:highlight w:val="none"/>
              </w:rPr>
              <w:t>1</w:t>
            </w:r>
            <w:r>
              <w:rPr>
                <w:rFonts w:hint="eastAsia" w:ascii="仿宋_GB2312" w:hAnsi="宋体" w:eastAsia="仿宋_GB2312"/>
                <w:color w:val="auto"/>
                <w:szCs w:val="21"/>
                <w:highlight w:val="none"/>
                <w:lang w:val="en-US" w:eastAsia="zh-CN"/>
              </w:rPr>
              <w:t>0</w:t>
            </w:r>
          </w:p>
        </w:tc>
        <w:tc>
          <w:tcPr>
            <w:tcW w:w="552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（一）评审内容：</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要求项目团队成员（不包含项目负责人）具有6人或以上，低于6人不得分；</w:t>
            </w:r>
            <w:r>
              <w:rPr>
                <w:rFonts w:hint="eastAsia" w:ascii="仿宋_GB2312" w:hAnsi="宋体" w:eastAsia="仿宋_GB2312"/>
                <w:color w:val="auto"/>
                <w:szCs w:val="21"/>
                <w:highlight w:val="none"/>
                <w:lang w:val="en-US" w:eastAsia="zh-CN"/>
              </w:rPr>
              <w:t>一级</w:t>
            </w:r>
            <w:r>
              <w:rPr>
                <w:rFonts w:hint="eastAsia" w:ascii="仿宋_GB2312" w:hAnsi="宋体" w:eastAsia="仿宋_GB2312"/>
                <w:color w:val="auto"/>
                <w:szCs w:val="21"/>
                <w:highlight w:val="none"/>
              </w:rPr>
              <w:t>注册造价工程师具有2人或以上，低于2人不得分，满足以上条件基础上按以下内容评审得分：</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1、除必须提供的2</w:t>
            </w:r>
            <w:r>
              <w:rPr>
                <w:rFonts w:hint="eastAsia" w:ascii="仿宋_GB2312" w:hAnsi="宋体" w:eastAsia="仿宋_GB2312"/>
                <w:color w:val="auto"/>
                <w:szCs w:val="21"/>
                <w:highlight w:val="none"/>
                <w:lang w:val="en-US" w:eastAsia="zh-CN"/>
              </w:rPr>
              <w:t>名一级</w:t>
            </w:r>
            <w:r>
              <w:rPr>
                <w:rFonts w:hint="eastAsia" w:ascii="仿宋_GB2312" w:hAnsi="宋体" w:eastAsia="仿宋_GB2312"/>
                <w:color w:val="auto"/>
                <w:szCs w:val="21"/>
                <w:highlight w:val="none"/>
              </w:rPr>
              <w:t>注册造价工程师外，每多提供1位</w:t>
            </w:r>
            <w:r>
              <w:rPr>
                <w:rFonts w:hint="eastAsia" w:ascii="仿宋_GB2312" w:hAnsi="宋体" w:eastAsia="仿宋_GB2312"/>
                <w:bCs/>
                <w:color w:val="auto"/>
                <w:szCs w:val="21"/>
                <w:highlight w:val="none"/>
              </w:rPr>
              <w:t>具有建筑工程相关专业中级及以上技术专业职称的</w:t>
            </w:r>
            <w:r>
              <w:rPr>
                <w:rFonts w:hint="eastAsia" w:ascii="仿宋_GB2312" w:hAnsi="宋体" w:eastAsia="仿宋_GB2312"/>
                <w:color w:val="auto"/>
                <w:szCs w:val="21"/>
                <w:highlight w:val="none"/>
              </w:rPr>
              <w:t>得15%，最高得30%；</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2、除必须提供的2</w:t>
            </w:r>
            <w:r>
              <w:rPr>
                <w:rFonts w:hint="eastAsia" w:ascii="仿宋_GB2312" w:hAnsi="宋体" w:eastAsia="仿宋_GB2312"/>
                <w:color w:val="auto"/>
                <w:szCs w:val="21"/>
                <w:highlight w:val="none"/>
                <w:lang w:val="en-US" w:eastAsia="zh-CN"/>
              </w:rPr>
              <w:t>名一级</w:t>
            </w:r>
            <w:r>
              <w:rPr>
                <w:rFonts w:hint="eastAsia" w:ascii="仿宋_GB2312" w:hAnsi="宋体" w:eastAsia="仿宋_GB2312"/>
                <w:color w:val="auto"/>
                <w:szCs w:val="21"/>
                <w:highlight w:val="none"/>
              </w:rPr>
              <w:t>注册造价工程师外，每多提供1位具有一级注册造价工程师的得15%，最高得30%；</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3、必须提供的2</w:t>
            </w:r>
            <w:r>
              <w:rPr>
                <w:rFonts w:hint="eastAsia" w:ascii="仿宋_GB2312" w:hAnsi="宋体" w:eastAsia="仿宋_GB2312"/>
                <w:color w:val="auto"/>
                <w:szCs w:val="21"/>
                <w:highlight w:val="none"/>
                <w:lang w:val="en-US" w:eastAsia="zh-CN"/>
              </w:rPr>
              <w:t>名一级</w:t>
            </w:r>
            <w:r>
              <w:rPr>
                <w:rFonts w:hint="eastAsia" w:ascii="仿宋_GB2312" w:hAnsi="宋体" w:eastAsia="仿宋_GB2312"/>
                <w:color w:val="auto"/>
                <w:szCs w:val="21"/>
                <w:highlight w:val="none"/>
              </w:rPr>
              <w:t>注册造价工程师中，每一个一级注册造价工程师获得相关资格证书后，参与工程项目造价咨询工作的经验年限在3年以下的得10%，在3年（含）</w:t>
            </w:r>
            <w:r>
              <w:rPr>
                <w:rFonts w:hint="eastAsia" w:ascii="仿宋_GB2312" w:hAnsi="宋体" w:eastAsia="仿宋_GB2312"/>
                <w:color w:val="auto"/>
                <w:szCs w:val="21"/>
                <w:highlight w:val="none"/>
                <w:lang w:val="en-US" w:eastAsia="zh-CN"/>
              </w:rPr>
              <w:t>至</w:t>
            </w:r>
            <w:r>
              <w:rPr>
                <w:rFonts w:hint="eastAsia" w:ascii="仿宋_GB2312" w:hAnsi="宋体" w:eastAsia="仿宋_GB2312"/>
                <w:color w:val="auto"/>
                <w:szCs w:val="21"/>
                <w:highlight w:val="none"/>
              </w:rPr>
              <w:t>5年的得 15%，在5年（含）以上的得20%，本项最多得40%。</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以上同一人如同时满足第一点和第二点要求，不可重复计分。</w:t>
            </w:r>
          </w:p>
          <w:p>
            <w:pPr>
              <w:widowControl/>
              <w:spacing w:line="360" w:lineRule="atLeast"/>
              <w:jc w:val="left"/>
              <w:rPr>
                <w:rFonts w:hint="eastAsia" w:ascii="仿宋_GB2312" w:hAnsi="宋体" w:eastAsia="仿宋_GB2312"/>
                <w:b/>
                <w:bCs/>
                <w:color w:val="auto"/>
                <w:szCs w:val="21"/>
                <w:highlight w:val="none"/>
              </w:rPr>
            </w:pPr>
            <w:r>
              <w:rPr>
                <w:rFonts w:hint="eastAsia" w:ascii="仿宋_GB2312" w:hAnsi="宋体" w:eastAsia="仿宋_GB2312"/>
                <w:b/>
                <w:bCs/>
                <w:color w:val="auto"/>
                <w:szCs w:val="21"/>
                <w:highlight w:val="none"/>
              </w:rPr>
              <w:t>（二）评分依据：</w:t>
            </w:r>
          </w:p>
          <w:p>
            <w:pPr>
              <w:spacing w:line="360" w:lineRule="atLeas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1.提供</w:t>
            </w:r>
            <w:r>
              <w:rPr>
                <w:rFonts w:hint="eastAsia" w:ascii="仿宋_GB2312" w:hAnsi="宋体" w:eastAsia="仿宋_GB2312"/>
                <w:bCs/>
                <w:color w:val="auto"/>
                <w:szCs w:val="21"/>
                <w:highlight w:val="none"/>
              </w:rPr>
              <w:t>项目团队成员</w:t>
            </w:r>
            <w:r>
              <w:rPr>
                <w:rFonts w:hint="eastAsia" w:ascii="仿宋_GB2312" w:hAnsi="宋体" w:eastAsia="仿宋_GB2312"/>
                <w:color w:val="auto"/>
                <w:szCs w:val="21"/>
                <w:highlight w:val="none"/>
              </w:rPr>
              <w:t>近3个月在投标单位缴纳的社保证明(社保部门资料或网页资料或窗口打印资料均可)作为得分前提，原件备查；</w:t>
            </w:r>
            <w:r>
              <w:rPr>
                <w:rFonts w:hint="eastAsia" w:ascii="仿宋_GB2312" w:hAnsi="宋体" w:eastAsia="仿宋_GB2312" w:cs="宋体"/>
                <w:color w:val="auto"/>
                <w:szCs w:val="21"/>
                <w:highlight w:val="none"/>
              </w:rPr>
              <w:t>如开标日当月或上一个月的社保材料因社保部门原因暂时无法取得，则可以往前顺延一个月；</w:t>
            </w:r>
            <w:r>
              <w:rPr>
                <w:rFonts w:hint="eastAsia" w:ascii="仿宋_GB2312" w:hAnsi="宋体" w:eastAsia="仿宋_GB2312" w:cs="宋体"/>
                <w:b/>
                <w:bCs/>
                <w:color w:val="auto"/>
                <w:szCs w:val="21"/>
                <w:highlight w:val="none"/>
              </w:rPr>
              <w:t>退休返聘人员不满足要求。</w:t>
            </w:r>
          </w:p>
          <w:p>
            <w:pPr>
              <w:widowControl/>
              <w:spacing w:line="360" w:lineRule="atLeast"/>
              <w:jc w:val="left"/>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2.</w:t>
            </w:r>
            <w:r>
              <w:rPr>
                <w:rFonts w:hint="eastAsia" w:ascii="仿宋_GB2312" w:hAnsi="宋体" w:eastAsia="仿宋_GB2312" w:cs="宋体"/>
                <w:color w:val="auto"/>
                <w:szCs w:val="21"/>
                <w:highlight w:val="none"/>
              </w:rPr>
              <w:t>提供相关人员职称/资格证书作为得分依据，原件备查；</w:t>
            </w:r>
          </w:p>
          <w:p>
            <w:pPr>
              <w:widowControl/>
              <w:spacing w:line="360" w:lineRule="atLeast"/>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3.提供</w:t>
            </w:r>
            <w:r>
              <w:rPr>
                <w:rFonts w:hint="eastAsia" w:ascii="仿宋_GB2312" w:hAnsi="宋体" w:eastAsia="仿宋_GB2312"/>
                <w:color w:val="auto"/>
                <w:szCs w:val="21"/>
                <w:highlight w:val="none"/>
              </w:rPr>
              <w:t>一级注册造价工程师</w:t>
            </w:r>
            <w:r>
              <w:rPr>
                <w:rFonts w:hint="eastAsia" w:ascii="仿宋_GB2312" w:hAnsi="宋体" w:eastAsia="仿宋_GB2312" w:cs="宋体"/>
                <w:color w:val="auto"/>
                <w:szCs w:val="21"/>
                <w:highlight w:val="none"/>
              </w:rPr>
              <w:t>获得相关资格证书后参与</w:t>
            </w:r>
            <w:r>
              <w:rPr>
                <w:rFonts w:hint="eastAsia" w:ascii="仿宋_GB2312" w:hAnsi="宋体" w:eastAsia="仿宋_GB2312"/>
                <w:color w:val="auto"/>
                <w:szCs w:val="21"/>
                <w:highlight w:val="none"/>
              </w:rPr>
              <w:t>工程项目造价咨询工作的经验资料（如</w:t>
            </w:r>
            <w:r>
              <w:rPr>
                <w:rFonts w:hint="eastAsia" w:ascii="仿宋_GB2312" w:hAnsi="宋体" w:eastAsia="仿宋_GB2312" w:cs="宋体"/>
                <w:color w:val="auto"/>
                <w:szCs w:val="21"/>
                <w:highlight w:val="none"/>
              </w:rPr>
              <w:t>工程咨询项目的成果文件的关键页扫描件、单位开具的证明等）。</w:t>
            </w:r>
          </w:p>
          <w:p>
            <w:pPr>
              <w:widowControl/>
              <w:spacing w:line="360" w:lineRule="atLeast"/>
              <w:jc w:val="left"/>
              <w:rPr>
                <w:rFonts w:hint="eastAsia" w:ascii="仿宋_GB2312" w:hAnsi="宋体" w:eastAsia="仿宋_GB2312"/>
                <w:color w:val="auto"/>
                <w:szCs w:val="21"/>
                <w:highlight w:val="none"/>
              </w:rPr>
            </w:pPr>
            <w:r>
              <w:rPr>
                <w:rFonts w:hint="eastAsia" w:ascii="仿宋_GB2312" w:hAnsi="宋体" w:eastAsia="仿宋_GB2312" w:cs="宋体"/>
                <w:color w:val="auto"/>
                <w:szCs w:val="21"/>
                <w:highlight w:val="none"/>
              </w:rPr>
              <w:t>以上资料均要求提供扫描件（或官方网站截图），原件备查。评分中出现无证明资料或专家无法凭所提供资料判断是否得分的情况，一律作不得分处理。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 w:hRule="atLeast"/>
          <w:jc w:val="center"/>
        </w:trPr>
        <w:tc>
          <w:tcPr>
            <w:tcW w:w="522" w:type="dxa"/>
            <w:tcBorders>
              <w:left w:val="single" w:color="auto" w:sz="4" w:space="0"/>
              <w:right w:val="single" w:color="auto" w:sz="4" w:space="0"/>
            </w:tcBorders>
            <w:vAlign w:val="center"/>
          </w:tcPr>
          <w:p>
            <w:pPr>
              <w:widowControl/>
              <w:spacing w:line="360" w:lineRule="atLeast"/>
              <w:ind w:firstLine="105" w:firstLineChars="50"/>
              <w:jc w:val="left"/>
              <w:rPr>
                <w:rFonts w:hint="eastAsia" w:ascii="仿宋_GB2312" w:hAnsi="宋体" w:eastAsia="仿宋_GB2312" w:cs="宋体"/>
                <w:color w:val="auto"/>
                <w:szCs w:val="21"/>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4</w:t>
            </w:r>
          </w:p>
        </w:tc>
        <w:tc>
          <w:tcPr>
            <w:tcW w:w="1647"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hint="eastAsia" w:ascii="仿宋_GB2312" w:hAnsi="宋体" w:eastAsia="仿宋_GB2312"/>
                <w:color w:val="auto"/>
                <w:szCs w:val="21"/>
                <w:highlight w:val="none"/>
              </w:rPr>
            </w:pPr>
            <w:r>
              <w:rPr>
                <w:rFonts w:hint="eastAsia" w:ascii="仿宋_GB2312" w:hAnsi="宋体" w:eastAsia="仿宋_GB2312"/>
                <w:color w:val="auto"/>
                <w:szCs w:val="21"/>
                <w:highlight w:val="none"/>
              </w:rPr>
              <w:t>诚信</w:t>
            </w:r>
          </w:p>
        </w:tc>
        <w:tc>
          <w:tcPr>
            <w:tcW w:w="791" w:type="dxa"/>
            <w:tcBorders>
              <w:top w:val="single" w:color="auto" w:sz="4" w:space="0"/>
              <w:left w:val="single" w:color="auto" w:sz="4" w:space="0"/>
              <w:bottom w:val="single" w:color="auto" w:sz="4" w:space="0"/>
              <w:right w:val="single" w:color="auto" w:sz="4" w:space="0"/>
            </w:tcBorders>
          </w:tcPr>
          <w:p>
            <w:pPr>
              <w:spacing w:line="360" w:lineRule="atLeast"/>
              <w:ind w:firstLine="210" w:firstLineChars="100"/>
              <w:jc w:val="both"/>
              <w:rPr>
                <w:rFonts w:hint="eastAsia" w:asciiTheme="minorEastAsia" w:hAnsiTheme="minorEastAsia" w:eastAsiaTheme="minorEastAsia" w:cstheme="minorEastAsia"/>
                <w:color w:val="auto"/>
                <w:szCs w:val="21"/>
                <w:highlight w:val="none"/>
              </w:rPr>
            </w:pPr>
          </w:p>
          <w:p>
            <w:pPr>
              <w:spacing w:line="360" w:lineRule="atLeast"/>
              <w:ind w:firstLine="210" w:firstLineChars="100"/>
              <w:jc w:val="both"/>
              <w:rPr>
                <w:rFonts w:hint="eastAsia" w:asciiTheme="minorEastAsia" w:hAnsiTheme="minorEastAsia" w:eastAsiaTheme="minorEastAsia" w:cstheme="minorEastAsia"/>
                <w:color w:val="auto"/>
                <w:szCs w:val="21"/>
                <w:highlight w:val="none"/>
              </w:rPr>
            </w:pPr>
          </w:p>
          <w:p>
            <w:pPr>
              <w:spacing w:line="360" w:lineRule="atLeast"/>
              <w:ind w:firstLine="210" w:firstLineChars="100"/>
              <w:jc w:val="both"/>
              <w:rPr>
                <w:rFonts w:hint="eastAsia" w:asciiTheme="minorEastAsia" w:hAnsiTheme="minorEastAsia" w:eastAsiaTheme="minorEastAsia" w:cstheme="minorEastAsia"/>
                <w:color w:val="auto"/>
                <w:szCs w:val="21"/>
                <w:highlight w:val="none"/>
              </w:rPr>
            </w:pPr>
          </w:p>
          <w:p>
            <w:pPr>
              <w:spacing w:line="360" w:lineRule="atLeast"/>
              <w:ind w:firstLine="210" w:firstLineChars="100"/>
              <w:jc w:val="both"/>
              <w:rPr>
                <w:rFonts w:hint="eastAsia" w:ascii="仿宋_GB2312" w:hAnsi="宋体" w:eastAsia="仿宋_GB2312"/>
                <w:bCs/>
                <w:color w:val="auto"/>
                <w:szCs w:val="21"/>
                <w:highlight w:val="none"/>
              </w:rPr>
            </w:pPr>
            <w:r>
              <w:rPr>
                <w:rFonts w:hint="eastAsia" w:ascii="仿宋_GB2312" w:hAnsi="宋体" w:eastAsia="仿宋_GB2312"/>
                <w:color w:val="auto"/>
                <w:szCs w:val="21"/>
                <w:highlight w:val="none"/>
              </w:rPr>
              <w:t>5</w:t>
            </w:r>
          </w:p>
        </w:tc>
        <w:tc>
          <w:tcPr>
            <w:tcW w:w="5529" w:type="dxa"/>
            <w:tcBorders>
              <w:top w:val="single" w:color="auto" w:sz="4" w:space="0"/>
              <w:left w:val="single" w:color="auto" w:sz="4" w:space="0"/>
              <w:bottom w:val="single" w:color="auto" w:sz="4" w:space="0"/>
              <w:right w:val="single" w:color="auto" w:sz="4" w:space="0"/>
            </w:tcBorders>
          </w:tcPr>
          <w:p>
            <w:pPr>
              <w:widowControl/>
              <w:spacing w:line="360" w:lineRule="atLeast"/>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 xml:space="preserve">（一）评分内容： </w:t>
            </w:r>
          </w:p>
          <w:p>
            <w:pPr>
              <w:widowControl/>
              <w:spacing w:line="360" w:lineRule="atLeast"/>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 xml:space="preserve">投标人在参与政府采购活动中存在诚信相关问题且在主管部门相关处理措施实施期限内的，本项不得分，否则得满分。 </w:t>
            </w:r>
          </w:p>
          <w:p>
            <w:pPr>
              <w:widowControl/>
              <w:spacing w:line="360" w:lineRule="atLeast"/>
              <w:jc w:val="left"/>
              <w:rPr>
                <w:rFonts w:hint="eastAsia" w:ascii="仿宋_GB2312" w:hAnsi="宋体" w:eastAsia="仿宋_GB2312" w:cs="宋体"/>
                <w:color w:val="auto"/>
                <w:szCs w:val="21"/>
                <w:highlight w:val="none"/>
              </w:rPr>
            </w:pPr>
            <w:r>
              <w:rPr>
                <w:rFonts w:hint="eastAsia" w:ascii="仿宋_GB2312" w:hAnsi="宋体" w:eastAsia="仿宋_GB2312" w:cs="宋体"/>
                <w:color w:val="auto"/>
                <w:szCs w:val="21"/>
                <w:highlight w:val="none"/>
              </w:rPr>
              <w:t xml:space="preserve">（二）评分依据： </w:t>
            </w:r>
          </w:p>
          <w:p>
            <w:pPr>
              <w:widowControl/>
              <w:spacing w:line="360" w:lineRule="atLeast"/>
              <w:jc w:val="left"/>
              <w:rPr>
                <w:rFonts w:hint="eastAsia" w:ascii="仿宋_GB2312" w:hAnsi="宋体" w:eastAsia="仿宋_GB2312"/>
                <w:b/>
                <w:bCs/>
                <w:color w:val="auto"/>
                <w:szCs w:val="21"/>
                <w:highlight w:val="none"/>
              </w:rPr>
            </w:pPr>
            <w:r>
              <w:rPr>
                <w:rFonts w:hint="eastAsia" w:ascii="仿宋_GB2312" w:hAnsi="宋体" w:eastAsia="仿宋_GB2312" w:cs="宋体"/>
                <w:color w:val="auto"/>
                <w:szCs w:val="21"/>
                <w:highlight w:val="none"/>
              </w:rPr>
              <w:t>投标人无需提供任何证明材料，由工作人员向评审</w:t>
            </w:r>
            <w:r>
              <w:rPr>
                <w:rFonts w:hint="eastAsia" w:ascii="仿宋_GB2312" w:hAnsi="宋体" w:eastAsia="仿宋_GB2312" w:cs="宋体"/>
                <w:color w:val="auto"/>
                <w:szCs w:val="21"/>
                <w:highlight w:val="none"/>
                <w:lang w:val="en-US" w:eastAsia="zh-CN"/>
              </w:rPr>
              <w:t>小组</w:t>
            </w:r>
            <w:r>
              <w:rPr>
                <w:rFonts w:hint="eastAsia" w:ascii="仿宋_GB2312" w:hAnsi="宋体" w:eastAsia="仿宋_GB2312" w:cs="宋体"/>
                <w:color w:val="auto"/>
                <w:szCs w:val="21"/>
                <w:highlight w:val="none"/>
              </w:rPr>
              <w:t>提供相关信息。</w:t>
            </w:r>
          </w:p>
        </w:tc>
      </w:tr>
    </w:tbl>
    <w:p>
      <w:pPr>
        <w:spacing w:line="600" w:lineRule="exact"/>
        <w:ind w:firstLine="640" w:firstLineChars="200"/>
        <w:jc w:val="left"/>
        <w:rPr>
          <w:rFonts w:ascii="黑体" w:hAnsi="黑体" w:eastAsia="黑体" w:cs="宋体"/>
          <w:bCs/>
          <w:color w:val="auto"/>
          <w:sz w:val="32"/>
          <w:szCs w:val="32"/>
          <w:highlight w:val="none"/>
        </w:rPr>
      </w:pPr>
      <w:r>
        <w:rPr>
          <w:rFonts w:hint="eastAsia" w:ascii="黑体" w:hAnsi="黑体" w:eastAsia="黑体" w:cs="宋体"/>
          <w:bCs/>
          <w:color w:val="auto"/>
          <w:kern w:val="0"/>
          <w:sz w:val="32"/>
          <w:szCs w:val="32"/>
          <w:highlight w:val="none"/>
        </w:rPr>
        <w:t>五、</w:t>
      </w:r>
      <w:r>
        <w:rPr>
          <w:rFonts w:hint="eastAsia" w:ascii="黑体" w:hAnsi="黑体" w:eastAsia="黑体" w:cs="宋体"/>
          <w:bCs/>
          <w:color w:val="auto"/>
          <w:sz w:val="32"/>
          <w:szCs w:val="32"/>
          <w:highlight w:val="none"/>
        </w:rPr>
        <w:t>供应商资质要求</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1.满足《中华人民共和国政府采购法》第二十二条规定（投标人在投标文件中签署《政府采购投标及履约承诺函》即可）;</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bCs/>
          <w:color w:val="auto"/>
          <w:kern w:val="0"/>
          <w:sz w:val="32"/>
          <w:szCs w:val="32"/>
          <w:highlight w:val="none"/>
        </w:rPr>
        <w:t>投标人必须具有独立承担民事责任的能力，不接受分公司或者分支机构参与投标；</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3.参与本项目投标前三年内，在经营活动中没有重大违法记录（由供应商在《政府采购投标及履约承诺函》中作出承诺）； </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4.参与本项目政府采购活动时不存在被有关部门禁止参与政府采购活动且在有效期内的情况（由供应商在《政府采购投标及履约承诺函》中作出承诺）；</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5.参与本项目政府采购活动时未被列入失信被执行人、重大税收违法案件当事人名单、政府采购严重违法失信行为记录名单（由供应商在《政府采购投标及履约承诺函》中作出声明）；</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6.实行回避制度。不接受已对中兴小学等27所民办学校厕所改造工程进行了结算审核的第三方造价咨询公司的投标（</w:t>
      </w:r>
      <w:r>
        <w:rPr>
          <w:rFonts w:hint="eastAsia" w:ascii="仿宋_GB2312" w:hAnsi="仿宋_GB2312" w:eastAsia="仿宋_GB2312" w:cs="仿宋_GB2312"/>
          <w:color w:val="auto"/>
          <w:sz w:val="32"/>
          <w:szCs w:val="32"/>
          <w:highlight w:val="none"/>
          <w:lang w:val="en-US" w:eastAsia="zh-CN"/>
        </w:rPr>
        <w:t>详细名单</w:t>
      </w:r>
      <w:r>
        <w:rPr>
          <w:rFonts w:hint="eastAsia" w:ascii="仿宋_GB2312" w:hAnsi="仿宋_GB2312" w:eastAsia="仿宋_GB2312" w:cs="仿宋_GB2312"/>
          <w:color w:val="auto"/>
          <w:sz w:val="32"/>
          <w:szCs w:val="32"/>
          <w:highlight w:val="none"/>
        </w:rPr>
        <w:t>见附件</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7.本项目不接受联合体投标，不允许转包、分包。</w:t>
      </w:r>
    </w:p>
    <w:p>
      <w:pPr>
        <w:spacing w:line="520" w:lineRule="exact"/>
        <w:ind w:firstLine="354" w:firstLineChars="147"/>
        <w:rPr>
          <w:rFonts w:hint="eastAsia"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 xml:space="preserve">  </w:t>
      </w:r>
      <w:r>
        <w:rPr>
          <w:rFonts w:hint="eastAsia" w:ascii="仿宋_GB2312" w:hAnsi="仿宋_GB2312" w:eastAsia="仿宋_GB2312" w:cs="仿宋_GB2312"/>
          <w:bCs/>
          <w:color w:val="auto"/>
          <w:kern w:val="0"/>
          <w:sz w:val="32"/>
          <w:szCs w:val="32"/>
          <w:highlight w:val="none"/>
        </w:rPr>
        <w:t>注：“信用中国”、“中国政府采购网”、“深圳信用网”以及“深圳市政府采购监管网”为供应商信用信息的查询渠道，相关信息以开标当日的查询结果为准。</w:t>
      </w:r>
      <w:r>
        <w:rPr>
          <w:rFonts w:hint="eastAsia" w:ascii="仿宋_GB2312" w:hAnsi="仿宋_GB2312" w:eastAsia="仿宋_GB2312" w:cs="仿宋_GB2312"/>
          <w:color w:val="auto"/>
          <w:sz w:val="32"/>
          <w:szCs w:val="32"/>
          <w:highlight w:val="none"/>
        </w:rPr>
        <w:t xml:space="preserve"> </w:t>
      </w:r>
    </w:p>
    <w:p>
      <w:pPr>
        <w:spacing w:line="600" w:lineRule="exact"/>
        <w:ind w:firstLine="640" w:firstLineChars="200"/>
        <w:rPr>
          <w:rFonts w:ascii="黑体" w:hAnsi="黑体" w:eastAsia="黑体" w:cs="仿宋"/>
          <w:bCs/>
          <w:color w:val="auto"/>
          <w:sz w:val="32"/>
          <w:szCs w:val="32"/>
          <w:highlight w:val="none"/>
        </w:rPr>
      </w:pPr>
      <w:r>
        <w:rPr>
          <w:rFonts w:hint="eastAsia" w:ascii="黑体" w:hAnsi="黑体" w:eastAsia="黑体" w:cs="仿宋"/>
          <w:bCs/>
          <w:color w:val="auto"/>
          <w:sz w:val="32"/>
          <w:szCs w:val="32"/>
          <w:highlight w:val="none"/>
        </w:rPr>
        <w:t>六、投标材料要求</w:t>
      </w:r>
    </w:p>
    <w:p>
      <w:pPr>
        <w:spacing w:line="600" w:lineRule="exact"/>
        <w:ind w:firstLine="643" w:firstLineChars="200"/>
        <w:rPr>
          <w:rFonts w:hint="eastAsia" w:ascii="仿宋_GB2312" w:hAnsi="仿宋_GB2312" w:eastAsia="仿宋_GB2312" w:cs="仿宋_GB2312"/>
          <w:b/>
          <w:color w:val="auto"/>
          <w:sz w:val="32"/>
          <w:szCs w:val="32"/>
          <w:highlight w:val="none"/>
        </w:rPr>
      </w:pPr>
      <w:r>
        <w:rPr>
          <w:rFonts w:hint="eastAsia" w:ascii="仿宋" w:hAnsi="仿宋" w:eastAsia="仿宋" w:cs="仿宋"/>
          <w:b/>
          <w:color w:val="auto"/>
          <w:sz w:val="32"/>
          <w:szCs w:val="32"/>
          <w:highlight w:val="none"/>
        </w:rPr>
        <w:t>特别说明：</w:t>
      </w:r>
      <w:r>
        <w:rPr>
          <w:rFonts w:hint="eastAsia" w:ascii="仿宋_GB2312" w:hAnsi="仿宋_GB2312" w:eastAsia="仿宋_GB2312" w:cs="仿宋_GB2312"/>
          <w:bCs/>
          <w:color w:val="auto"/>
          <w:kern w:val="0"/>
          <w:sz w:val="32"/>
          <w:szCs w:val="32"/>
          <w:highlight w:val="none"/>
        </w:rPr>
        <w:t>1.在采购公告中有“格式要求”的按要求编制；无“格式要求”的由投标人自拟；</w:t>
      </w:r>
      <w:r>
        <w:rPr>
          <w:rFonts w:hint="eastAsia" w:ascii="仿宋_GB2312" w:hAnsi="仿宋_GB2312" w:eastAsia="仿宋_GB2312" w:cs="仿宋_GB2312"/>
          <w:bCs/>
          <w:color w:val="auto"/>
          <w:sz w:val="32"/>
          <w:szCs w:val="32"/>
          <w:highlight w:val="none"/>
        </w:rPr>
        <w:t>2.投标人</w:t>
      </w:r>
      <w:r>
        <w:rPr>
          <w:rFonts w:hint="eastAsia" w:ascii="仿宋_GB2312" w:hAnsi="仿宋_GB2312" w:eastAsia="仿宋_GB2312" w:cs="仿宋_GB2312"/>
          <w:color w:val="auto"/>
          <w:sz w:val="32"/>
          <w:szCs w:val="32"/>
          <w:highlight w:val="none"/>
        </w:rPr>
        <w:t>除按照《</w:t>
      </w:r>
      <w:r>
        <w:rPr>
          <w:rFonts w:hint="eastAsia" w:ascii="仿宋_GB2312" w:hAnsi="仿宋_GB2312" w:eastAsia="仿宋_GB2312" w:cs="仿宋_GB2312"/>
          <w:bCs/>
          <w:color w:val="auto"/>
          <w:sz w:val="32"/>
          <w:szCs w:val="32"/>
          <w:highlight w:val="none"/>
        </w:rPr>
        <w:t>评分细则表》要求提供相关材料外，同时须</w:t>
      </w:r>
      <w:r>
        <w:rPr>
          <w:rFonts w:hint="eastAsia" w:ascii="仿宋_GB2312" w:hAnsi="仿宋_GB2312" w:eastAsia="仿宋_GB2312" w:cs="仿宋_GB2312"/>
          <w:color w:val="auto"/>
          <w:sz w:val="32"/>
          <w:szCs w:val="32"/>
          <w:highlight w:val="none"/>
        </w:rPr>
        <w:t>提交以下材料，所提交复印件须加盖单位公章，一式五份（正本一份，副本四份）</w:t>
      </w:r>
      <w:r>
        <w:rPr>
          <w:rFonts w:hint="eastAsia" w:ascii="仿宋_GB2312" w:hAnsi="仿宋_GB2312" w:eastAsia="仿宋_GB2312" w:cs="仿宋_GB2312"/>
          <w:bCs/>
          <w:color w:val="auto"/>
          <w:kern w:val="0"/>
          <w:sz w:val="32"/>
          <w:szCs w:val="32"/>
          <w:highlight w:val="none"/>
        </w:rPr>
        <w:t xml:space="preserve">。 </w:t>
      </w:r>
    </w:p>
    <w:p>
      <w:pPr>
        <w:numPr>
          <w:ilvl w:val="0"/>
          <w:numId w:val="3"/>
        </w:num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法定代表人证明书或法定代表人授权书及应标人身份证复印件（应标提交投标文件时现场提供）；</w:t>
      </w:r>
    </w:p>
    <w:p>
      <w:pPr>
        <w:numPr>
          <w:ilvl w:val="0"/>
          <w:numId w:val="3"/>
        </w:num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rPr>
        <w:t>营业执照或事业单位法人证书或社会团体法人登记证书等法人证书证明文件</w:t>
      </w:r>
      <w:r>
        <w:rPr>
          <w:rFonts w:hint="eastAsia" w:ascii="仿宋_GB2312" w:hAnsi="仿宋_GB2312" w:eastAsia="仿宋_GB2312" w:cs="仿宋_GB2312"/>
          <w:bCs/>
          <w:color w:val="auto"/>
          <w:kern w:val="0"/>
          <w:sz w:val="32"/>
          <w:szCs w:val="32"/>
          <w:highlight w:val="none"/>
        </w:rPr>
        <w:t>复印件；</w:t>
      </w:r>
    </w:p>
    <w:p>
      <w:p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3.</w:t>
      </w:r>
      <w:r>
        <w:rPr>
          <w:rFonts w:hint="eastAsia" w:ascii="仿宋_GB2312" w:hAnsi="仿宋_GB2312" w:eastAsia="仿宋_GB2312" w:cs="仿宋_GB2312"/>
          <w:color w:val="auto"/>
          <w:sz w:val="32"/>
          <w:szCs w:val="32"/>
          <w:highlight w:val="none"/>
        </w:rPr>
        <w:t>《政府采购投标及履约承诺函》（附件</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kern w:val="0"/>
          <w:sz w:val="32"/>
          <w:szCs w:val="32"/>
          <w:highlight w:val="none"/>
        </w:rPr>
        <w:t>4.《开标一览表》</w:t>
      </w: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bCs/>
          <w:color w:val="auto"/>
          <w:sz w:val="32"/>
          <w:szCs w:val="32"/>
          <w:highlight w:val="none"/>
        </w:rPr>
        <w:t>；</w:t>
      </w:r>
    </w:p>
    <w:p>
      <w:pPr>
        <w:spacing w:line="600" w:lineRule="exact"/>
        <w:ind w:firstLine="640" w:firstLineChars="200"/>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完成时间承诺函</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附件5</w:t>
      </w:r>
      <w:r>
        <w:rPr>
          <w:rFonts w:hint="eastAsia" w:ascii="仿宋_GB2312" w:hAnsi="仿宋_GB2312" w:eastAsia="仿宋_GB2312" w:cs="仿宋_GB2312"/>
          <w:bCs/>
          <w:color w:val="auto"/>
          <w:sz w:val="32"/>
          <w:szCs w:val="32"/>
          <w:highlight w:val="none"/>
          <w:lang w:eastAsia="zh-CN"/>
        </w:rPr>
        <w:t>）；</w:t>
      </w:r>
    </w:p>
    <w:p>
      <w:pPr>
        <w:spacing w:line="600" w:lineRule="exact"/>
        <w:ind w:firstLine="640" w:firstLineChars="200"/>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6.</w:t>
      </w:r>
      <w:r>
        <w:rPr>
          <w:rFonts w:hint="eastAsia" w:ascii="仿宋_GB2312" w:hAnsi="仿宋_GB2312" w:eastAsia="仿宋_GB2312" w:cs="仿宋_GB2312"/>
          <w:bCs/>
          <w:color w:val="auto"/>
          <w:sz w:val="32"/>
          <w:szCs w:val="32"/>
          <w:highlight w:val="none"/>
        </w:rPr>
        <w:t>投标人认为需提供的其他投标材料。</w:t>
      </w:r>
    </w:p>
    <w:p>
      <w:pPr>
        <w:spacing w:line="600" w:lineRule="exact"/>
        <w:ind w:firstLine="643" w:firstLineChars="200"/>
        <w:rPr>
          <w:rFonts w:hint="eastAsia" w:ascii="黑体" w:hAnsi="黑体" w:eastAsia="黑体" w:cs="黑体"/>
          <w:b/>
          <w:color w:val="auto"/>
          <w:kern w:val="0"/>
          <w:sz w:val="32"/>
          <w:szCs w:val="32"/>
          <w:highlight w:val="none"/>
        </w:rPr>
      </w:pPr>
      <w:r>
        <w:rPr>
          <w:rFonts w:hint="eastAsia" w:ascii="黑体" w:hAnsi="黑体" w:eastAsia="黑体" w:cs="黑体"/>
          <w:b/>
          <w:color w:val="auto"/>
          <w:kern w:val="0"/>
          <w:sz w:val="32"/>
          <w:szCs w:val="32"/>
          <w:highlight w:val="none"/>
        </w:rPr>
        <w:t>七、具体工作流程</w:t>
      </w:r>
    </w:p>
    <w:p>
      <w:p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1</w:t>
      </w:r>
      <w:r>
        <w:rPr>
          <w:rFonts w:hint="eastAsia" w:ascii="仿宋_GB2312" w:hAnsi="仿宋_GB2312" w:eastAsia="仿宋_GB2312" w:cs="仿宋_GB2312"/>
          <w:bCs/>
          <w:color w:val="auto"/>
          <w:kern w:val="0"/>
          <w:sz w:val="32"/>
          <w:szCs w:val="32"/>
          <w:highlight w:val="none"/>
        </w:rPr>
        <w:t>.2022年1</w:t>
      </w:r>
      <w:r>
        <w:rPr>
          <w:rFonts w:hint="eastAsia" w:ascii="仿宋_GB2312" w:hAnsi="仿宋_GB2312" w:eastAsia="仿宋_GB2312" w:cs="仿宋_GB2312"/>
          <w:bCs/>
          <w:color w:val="auto"/>
          <w:kern w:val="0"/>
          <w:sz w:val="32"/>
          <w:szCs w:val="32"/>
          <w:highlight w:val="none"/>
          <w:lang w:val="en-US" w:eastAsia="zh-CN"/>
        </w:rPr>
        <w:t>1</w:t>
      </w:r>
      <w:r>
        <w:rPr>
          <w:rFonts w:hint="eastAsia" w:ascii="仿宋_GB2312" w:hAnsi="仿宋_GB2312" w:eastAsia="仿宋_GB2312" w:cs="仿宋_GB2312"/>
          <w:bCs/>
          <w:color w:val="auto"/>
          <w:kern w:val="0"/>
          <w:sz w:val="32"/>
          <w:szCs w:val="32"/>
          <w:highlight w:val="none"/>
        </w:rPr>
        <w:t>月</w:t>
      </w: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日</w:t>
      </w:r>
      <w:r>
        <w:rPr>
          <w:rFonts w:hint="eastAsia" w:ascii="仿宋_GB2312" w:hAnsi="仿宋_GB2312" w:eastAsia="仿宋_GB2312" w:cs="仿宋_GB2312"/>
          <w:bCs/>
          <w:color w:val="auto"/>
          <w:kern w:val="0"/>
          <w:sz w:val="32"/>
          <w:szCs w:val="32"/>
          <w:highlight w:val="none"/>
          <w:lang w:val="en-US" w:eastAsia="zh-CN"/>
        </w:rPr>
        <w:t>15</w:t>
      </w:r>
      <w:r>
        <w:rPr>
          <w:rFonts w:hint="eastAsia" w:ascii="仿宋_GB2312" w:hAnsi="仿宋_GB2312" w:eastAsia="仿宋_GB2312" w:cs="仿宋_GB2312"/>
          <w:bCs/>
          <w:color w:val="auto"/>
          <w:kern w:val="0"/>
          <w:sz w:val="32"/>
          <w:szCs w:val="32"/>
          <w:highlight w:val="none"/>
        </w:rPr>
        <w:t>：00</w:t>
      </w:r>
      <w:r>
        <w:rPr>
          <w:rFonts w:hint="eastAsia" w:ascii="仿宋_GB2312" w:hAnsi="仿宋_GB2312" w:eastAsia="仿宋_GB2312" w:cs="仿宋_GB2312"/>
          <w:bCs/>
          <w:color w:val="auto"/>
          <w:kern w:val="0"/>
          <w:sz w:val="32"/>
          <w:szCs w:val="32"/>
          <w:highlight w:val="none"/>
          <w:lang w:val="en-US" w:eastAsia="zh-CN"/>
        </w:rPr>
        <w:t>前</w:t>
      </w:r>
      <w:r>
        <w:rPr>
          <w:rFonts w:hint="eastAsia" w:ascii="仿宋_GB2312" w:hAnsi="仿宋_GB2312" w:eastAsia="仿宋_GB2312" w:cs="仿宋_GB2312"/>
          <w:bCs/>
          <w:color w:val="auto"/>
          <w:kern w:val="0"/>
          <w:sz w:val="32"/>
          <w:szCs w:val="32"/>
          <w:highlight w:val="none"/>
        </w:rPr>
        <w:t>，应标公司到龙岗区教育局四楼</w:t>
      </w:r>
      <w:r>
        <w:rPr>
          <w:rFonts w:hint="eastAsia" w:ascii="仿宋_GB2312" w:hAnsi="仿宋_GB2312" w:eastAsia="仿宋_GB2312" w:cs="仿宋_GB2312"/>
          <w:bCs/>
          <w:color w:val="auto"/>
          <w:kern w:val="0"/>
          <w:sz w:val="32"/>
          <w:szCs w:val="32"/>
          <w:highlight w:val="none"/>
          <w:lang w:val="en-US" w:eastAsia="zh-CN"/>
        </w:rPr>
        <w:t>422</w:t>
      </w:r>
      <w:r>
        <w:rPr>
          <w:rFonts w:hint="eastAsia" w:ascii="仿宋_GB2312" w:hAnsi="仿宋_GB2312" w:eastAsia="仿宋_GB2312" w:cs="仿宋_GB2312"/>
          <w:bCs/>
          <w:color w:val="auto"/>
          <w:kern w:val="0"/>
          <w:sz w:val="32"/>
          <w:szCs w:val="32"/>
          <w:highlight w:val="none"/>
        </w:rPr>
        <w:t>会议室提交投标文件（一式五份），逾期提交将不予受理。如因疫情形势变化或最新防控规定造成相关要求调整，以区教育局最新通知为准。</w:t>
      </w:r>
    </w:p>
    <w:p>
      <w:pPr>
        <w:spacing w:line="600" w:lineRule="exact"/>
        <w:ind w:firstLine="640" w:firstLineChars="200"/>
        <w:rPr>
          <w:rFonts w:ascii="仿宋" w:hAnsi="仿宋" w:eastAsia="仿宋" w:cs="仿宋"/>
          <w:b/>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2</w:t>
      </w:r>
      <w:r>
        <w:rPr>
          <w:rFonts w:hint="eastAsia" w:ascii="仿宋_GB2312" w:hAnsi="仿宋_GB2312" w:eastAsia="仿宋_GB2312" w:cs="仿宋_GB2312"/>
          <w:bCs/>
          <w:color w:val="auto"/>
          <w:kern w:val="0"/>
          <w:sz w:val="32"/>
          <w:szCs w:val="32"/>
          <w:highlight w:val="none"/>
        </w:rPr>
        <w:t>.2022年1</w:t>
      </w:r>
      <w:r>
        <w:rPr>
          <w:rFonts w:hint="eastAsia" w:ascii="仿宋_GB2312" w:hAnsi="仿宋_GB2312" w:eastAsia="仿宋_GB2312" w:cs="仿宋_GB2312"/>
          <w:bCs/>
          <w:color w:val="auto"/>
          <w:kern w:val="0"/>
          <w:sz w:val="32"/>
          <w:szCs w:val="32"/>
          <w:highlight w:val="none"/>
          <w:lang w:val="en-US" w:eastAsia="zh-CN"/>
        </w:rPr>
        <w:t>1</w:t>
      </w:r>
      <w:r>
        <w:rPr>
          <w:rFonts w:hint="eastAsia" w:ascii="仿宋_GB2312" w:hAnsi="仿宋_GB2312" w:eastAsia="仿宋_GB2312" w:cs="仿宋_GB2312"/>
          <w:bCs/>
          <w:color w:val="auto"/>
          <w:kern w:val="0"/>
          <w:sz w:val="32"/>
          <w:szCs w:val="32"/>
          <w:highlight w:val="none"/>
        </w:rPr>
        <w:t>月</w:t>
      </w: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日</w:t>
      </w:r>
      <w:r>
        <w:rPr>
          <w:rFonts w:hint="eastAsia" w:ascii="仿宋_GB2312" w:hAnsi="仿宋_GB2312" w:eastAsia="仿宋_GB2312" w:cs="仿宋_GB2312"/>
          <w:bCs/>
          <w:color w:val="auto"/>
          <w:kern w:val="0"/>
          <w:sz w:val="32"/>
          <w:szCs w:val="32"/>
          <w:highlight w:val="none"/>
          <w:lang w:val="en-US" w:eastAsia="zh-CN"/>
        </w:rPr>
        <w:t>15</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bCs/>
          <w:color w:val="auto"/>
          <w:kern w:val="0"/>
          <w:sz w:val="32"/>
          <w:szCs w:val="32"/>
          <w:highlight w:val="none"/>
          <w:lang w:val="en-US" w:eastAsia="zh-CN"/>
        </w:rPr>
        <w:t>0</w:t>
      </w:r>
      <w:r>
        <w:rPr>
          <w:rFonts w:hint="eastAsia" w:ascii="仿宋_GB2312" w:hAnsi="仿宋_GB2312" w:eastAsia="仿宋_GB2312" w:cs="仿宋_GB2312"/>
          <w:bCs/>
          <w:color w:val="auto"/>
          <w:kern w:val="0"/>
          <w:sz w:val="32"/>
          <w:szCs w:val="32"/>
          <w:highlight w:val="none"/>
        </w:rPr>
        <w:t>0，区教育局评标小组在龙岗区教育局422会议室开标，投标人必须派授权代表出席开标会议</w:t>
      </w:r>
      <w:r>
        <w:rPr>
          <w:rFonts w:hint="eastAsia" w:ascii="仿宋" w:hAnsi="仿宋" w:eastAsia="仿宋" w:cs="仿宋"/>
          <w:b/>
          <w:color w:val="auto"/>
          <w:kern w:val="0"/>
          <w:sz w:val="32"/>
          <w:szCs w:val="32"/>
          <w:highlight w:val="none"/>
        </w:rPr>
        <w:t>（特别提醒：由公司法人代表参加应标的须</w:t>
      </w:r>
      <w:r>
        <w:rPr>
          <w:rFonts w:hint="eastAsia" w:ascii="仿宋" w:hAnsi="仿宋" w:eastAsia="仿宋" w:cs="仿宋"/>
          <w:b/>
          <w:color w:val="auto"/>
          <w:sz w:val="32"/>
          <w:szCs w:val="32"/>
          <w:highlight w:val="none"/>
        </w:rPr>
        <w:t>提供</w:t>
      </w:r>
      <w:r>
        <w:rPr>
          <w:rFonts w:hint="eastAsia" w:ascii="仿宋" w:hAnsi="仿宋" w:eastAsia="仿宋" w:cs="仿宋"/>
          <w:b/>
          <w:color w:val="auto"/>
          <w:kern w:val="0"/>
          <w:sz w:val="32"/>
          <w:szCs w:val="32"/>
          <w:highlight w:val="none"/>
        </w:rPr>
        <w:t>身份证复印件（现场验原件），由公司授权委托代理人参加应标的须交身份证复印件（现场验原件）和法人代表签署的授权委托书原件）。</w:t>
      </w:r>
    </w:p>
    <w:p>
      <w:pPr>
        <w:spacing w:line="600" w:lineRule="exact"/>
        <w:ind w:firstLine="640"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lang w:val="en-US" w:eastAsia="zh-CN"/>
        </w:rPr>
        <w:t>3</w:t>
      </w:r>
      <w:r>
        <w:rPr>
          <w:rFonts w:hint="eastAsia" w:ascii="仿宋_GB2312" w:hAnsi="仿宋_GB2312" w:eastAsia="仿宋_GB2312" w:cs="仿宋_GB2312"/>
          <w:bCs/>
          <w:color w:val="auto"/>
          <w:kern w:val="0"/>
          <w:sz w:val="32"/>
          <w:szCs w:val="32"/>
          <w:highlight w:val="none"/>
        </w:rPr>
        <w:t>.通过龙岗政府在线龙岗区教育局“阳光采购”栏目对采购结果进行公示，确定最终中标公司及中标价格。</w:t>
      </w:r>
    </w:p>
    <w:p>
      <w:pPr>
        <w:spacing w:line="600" w:lineRule="exact"/>
        <w:ind w:firstLine="643" w:firstLineChars="200"/>
        <w:rPr>
          <w:rFonts w:ascii="仿宋" w:hAnsi="仿宋" w:eastAsia="仿宋" w:cs="仿宋"/>
          <w:b/>
          <w:color w:val="auto"/>
          <w:sz w:val="32"/>
          <w:szCs w:val="32"/>
          <w:highlight w:val="none"/>
        </w:rPr>
      </w:pPr>
      <w:r>
        <w:rPr>
          <w:rFonts w:hint="eastAsia" w:ascii="宋体" w:hAnsi="宋体" w:cs="宋体"/>
          <w:b/>
          <w:color w:val="auto"/>
          <w:kern w:val="0"/>
          <w:sz w:val="32"/>
          <w:szCs w:val="32"/>
          <w:highlight w:val="none"/>
        </w:rPr>
        <w:t xml:space="preserve"> </w:t>
      </w:r>
      <w:r>
        <w:rPr>
          <w:rFonts w:hint="eastAsia" w:ascii="黑体" w:hAnsi="黑体" w:eastAsia="黑体" w:cs="黑体"/>
          <w:b/>
          <w:color w:val="auto"/>
          <w:kern w:val="0"/>
          <w:sz w:val="32"/>
          <w:szCs w:val="32"/>
          <w:highlight w:val="none"/>
        </w:rPr>
        <w:t>八、双方的权利和义务</w:t>
      </w:r>
    </w:p>
    <w:p>
      <w:pPr>
        <w:pStyle w:val="3"/>
        <w:spacing w:before="0" w:after="0" w:line="600" w:lineRule="exact"/>
        <w:ind w:firstLine="643"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(一)采购人的权利和义务</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采购人（负责部门-财审中心）</w:t>
      </w:r>
      <w:r>
        <w:rPr>
          <w:rFonts w:hint="eastAsia" w:ascii="仿宋_GB2312" w:hAnsi="仿宋_GB2312" w:eastAsia="仿宋_GB2312" w:cs="仿宋_GB2312"/>
          <w:color w:val="auto"/>
          <w:sz w:val="32"/>
          <w:szCs w:val="32"/>
          <w:highlight w:val="none"/>
        </w:rPr>
        <w:t>有权要求中标供应商在规定的时间内提供</w:t>
      </w:r>
      <w:r>
        <w:rPr>
          <w:rFonts w:hint="eastAsia" w:ascii="仿宋_GB2312" w:hAnsi="仿宋_GB2312" w:eastAsia="仿宋_GB2312" w:cs="仿宋_GB2312"/>
          <w:bCs/>
          <w:color w:val="auto"/>
          <w:sz w:val="32"/>
          <w:szCs w:val="32"/>
          <w:highlight w:val="none"/>
        </w:rPr>
        <w:t>工程造价结算审核报告</w:t>
      </w:r>
      <w:r>
        <w:rPr>
          <w:rFonts w:hint="eastAsia" w:ascii="仿宋_GB2312" w:hAnsi="仿宋_GB2312" w:eastAsia="仿宋_GB2312" w:cs="仿宋_GB2312"/>
          <w:color w:val="auto"/>
          <w:sz w:val="32"/>
          <w:szCs w:val="32"/>
          <w:highlight w:val="none"/>
        </w:rPr>
        <w:t>和档案资料等。</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采购人（负责部门-财审中心）</w:t>
      </w:r>
      <w:r>
        <w:rPr>
          <w:rFonts w:hint="eastAsia" w:ascii="仿宋_GB2312" w:hAnsi="仿宋_GB2312" w:eastAsia="仿宋_GB2312" w:cs="仿宋_GB2312"/>
          <w:color w:val="auto"/>
          <w:sz w:val="32"/>
          <w:szCs w:val="32"/>
          <w:highlight w:val="none"/>
        </w:rPr>
        <w:t>有权要求中标供应商适当调整委派人员。</w:t>
      </w:r>
    </w:p>
    <w:p>
      <w:pPr>
        <w:pStyle w:val="6"/>
        <w:spacing w:line="600" w:lineRule="exact"/>
        <w:ind w:firstLine="64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采购人（负责部门-社管科）</w:t>
      </w:r>
      <w:r>
        <w:rPr>
          <w:rFonts w:hint="eastAsia" w:ascii="仿宋_GB2312" w:hAnsi="仿宋_GB2312" w:eastAsia="仿宋_GB2312" w:cs="仿宋_GB2312"/>
          <w:color w:val="auto"/>
          <w:sz w:val="32"/>
          <w:szCs w:val="32"/>
          <w:highlight w:val="none"/>
        </w:rPr>
        <w:t>督促民办学校及时为中标供应商的工程造价审核工作提供其所要求的全部工程资料和其他有关资料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同时要求民办学校确保申报材料的真实性、准确性、完整性，督促民办学校</w:t>
      </w:r>
      <w:r>
        <w:rPr>
          <w:rFonts w:hint="eastAsia" w:ascii="仿宋_GB2312" w:hAnsi="仿宋_GB2312" w:eastAsia="仿宋_GB2312" w:cs="仿宋_GB2312"/>
          <w:color w:val="auto"/>
          <w:sz w:val="32"/>
          <w:szCs w:val="32"/>
          <w:highlight w:val="none"/>
        </w:rPr>
        <w:t>为中标供应商委派的工作人员提供必要的工作条件和协助。</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、如</w:t>
      </w:r>
      <w:r>
        <w:rPr>
          <w:rFonts w:hint="eastAsia" w:ascii="仿宋_GB2312" w:hAnsi="仿宋_GB2312" w:eastAsia="仿宋_GB2312" w:cs="仿宋_GB2312"/>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未经采购人允许对外泄露相关资料，造成不良影响；以及</w:t>
      </w:r>
      <w:r>
        <w:rPr>
          <w:rFonts w:hint="eastAsia" w:ascii="仿宋_GB2312" w:hAnsi="仿宋_GB2312" w:eastAsia="仿宋_GB2312" w:cs="仿宋_GB2312"/>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因过失或失职造成结算审核成果文件错误给采购方造成经济损失的，采购方有权向中标供应商追索经济赔偿并追究相关法律责任。</w:t>
      </w:r>
    </w:p>
    <w:p>
      <w:pPr>
        <w:pStyle w:val="6"/>
        <w:spacing w:line="600" w:lineRule="exact"/>
        <w:ind w:firstLine="643"/>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（二）中标供应商的权利和义务</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标供应商保证在开展造价审核业务时，应当严格遵守《广东省建设工程造价管理规定》、《深圳市建设工程造价管理规定》等有关文件规定和采购单位的内部规章制度，按照采购单位规定的业务范围、内容和程序实施造价审核。</w:t>
      </w:r>
      <w:r>
        <w:rPr>
          <w:rFonts w:hint="eastAsia" w:ascii="仿宋_GB2312" w:hAnsi="仿宋_GB2312" w:eastAsia="仿宋_GB2312" w:cs="仿宋_GB2312"/>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对工程文件资料审核的结果及工程结算书的质量(准确性、合理性、合法性)负责。</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标供应商审核人员在审核工程项目时，应当客观公正、实事求是、廉洁奉公、保守秘密，并保持严谨、稳健、负责的职业态度。在执行审核任务时，应真实反映审核过程、审核结果，客观评价审核事项，审核中发现的重大问题及时向采购单位汇报；接受采购单位的业务监督。</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中标供应商在审核期间，应严格实行回避制度。如因中标供应商原因导致审核结果有严重错误或审核过程中出现违规违纪现象（如审核人员从事与审核身份不符的行为，如泄密、交易、越权等），采购单位有权中止对</w:t>
      </w:r>
      <w:r>
        <w:rPr>
          <w:rFonts w:hint="eastAsia" w:ascii="仿宋_GB2312" w:hAnsi="仿宋_GB2312" w:eastAsia="仿宋_GB2312" w:cs="仿宋_GB2312"/>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的项目委托并追究相应责任。</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4、该项目审核人员必须是</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供职人员，</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如实提供审核人员专业水平状况，并保证审核人员的工作水准，若审核人员无法胜任工作，须按采购方要求更换人员。</w:t>
      </w:r>
      <w:r>
        <w:rPr>
          <w:rFonts w:hint="eastAsia" w:ascii="仿宋_GB2312" w:hAnsi="仿宋_GB2312" w:eastAsia="仿宋_GB2312" w:cs="仿宋_GB2312"/>
          <w:bCs/>
          <w:color w:val="auto"/>
          <w:sz w:val="32"/>
          <w:szCs w:val="32"/>
          <w:highlight w:val="none"/>
        </w:rPr>
        <w:t>中标单位须保障项目的效率和质量</w:t>
      </w:r>
      <w:r>
        <w:rPr>
          <w:rFonts w:hint="eastAsia" w:ascii="仿宋_GB2312" w:hAnsi="仿宋_GB2312" w:eastAsia="仿宋_GB2312" w:cs="仿宋_GB2312"/>
          <w:color w:val="auto"/>
          <w:sz w:val="32"/>
          <w:szCs w:val="32"/>
          <w:highlight w:val="none"/>
        </w:rPr>
        <w:t>。</w:t>
      </w:r>
    </w:p>
    <w:p>
      <w:pPr>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该项目审核人员应遵守审计署审计纪律“八不准”规定，遵守职业道德和需方规定的纪律；服务期间不得以采购方名义从事与工程造价审核工作无关的活动；在审核过程中切实履行审计回避制度；对审核过程中知悉的商业秘密负有保密责任，</w:t>
      </w:r>
      <w:r>
        <w:rPr>
          <w:rFonts w:hint="eastAsia" w:ascii="仿宋_GB2312" w:hAnsi="仿宋_GB2312" w:eastAsia="仿宋_GB2312" w:cs="仿宋_GB2312"/>
          <w:bCs/>
          <w:color w:val="auto"/>
          <w:sz w:val="32"/>
          <w:szCs w:val="32"/>
          <w:highlight w:val="none"/>
        </w:rPr>
        <w:t>除法律另有规定外，未经采购方或被审计单位书面同意，</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bCs/>
          <w:color w:val="auto"/>
          <w:sz w:val="32"/>
          <w:szCs w:val="32"/>
          <w:highlight w:val="none"/>
        </w:rPr>
        <w:t>及审核人员不得将被审计单位提供的资料对外泄露。否则，</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bCs/>
          <w:color w:val="auto"/>
          <w:sz w:val="32"/>
          <w:szCs w:val="32"/>
          <w:highlight w:val="none"/>
        </w:rPr>
        <w:t>承担由此产生的一切责任与后果，若因此给采购方造成损失的，</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bCs/>
          <w:color w:val="auto"/>
          <w:sz w:val="32"/>
          <w:szCs w:val="32"/>
          <w:highlight w:val="none"/>
        </w:rPr>
        <w:t>应予以全部赔偿。</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6、工程项目审核结束后，</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要如数归还被审单位的工程资料，并及时整理相关档案资料。</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7、</w:t>
      </w:r>
      <w:r>
        <w:rPr>
          <w:rFonts w:hint="eastAsia" w:ascii="仿宋_GB2312" w:hAnsi="仿宋_GB2312" w:eastAsia="仿宋_GB2312" w:cs="仿宋_GB2312"/>
          <w:bCs/>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不得将此项目非法分包或转包给任何单位和个人。否则，采购方有权即刻终止合同，并要求中标供应商赔偿相应损失。</w:t>
      </w:r>
    </w:p>
    <w:p>
      <w:pPr>
        <w:pStyle w:val="6"/>
        <w:spacing w:line="600" w:lineRule="exact"/>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w:t>
      </w:r>
      <w:r>
        <w:rPr>
          <w:rFonts w:hint="eastAsia" w:ascii="仿宋_GB2312" w:hAnsi="仿宋_GB2312" w:eastAsia="仿宋_GB2312" w:cs="仿宋_GB2312"/>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必须按照国家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广东省</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深圳市的工程造价管理法规及规定，遵循公平、公正、合法的原则高质量地完成审核工作，维护各方合法权益。如因</w:t>
      </w:r>
      <w:r>
        <w:rPr>
          <w:rFonts w:hint="eastAsia" w:ascii="仿宋_GB2312" w:hAnsi="仿宋_GB2312" w:eastAsia="仿宋_GB2312" w:cs="仿宋_GB2312"/>
          <w:color w:val="auto"/>
          <w:sz w:val="32"/>
          <w:szCs w:val="32"/>
          <w:highlight w:val="none"/>
          <w:lang w:eastAsia="zh-CN"/>
        </w:rPr>
        <w:t>中标供应商</w:t>
      </w:r>
      <w:r>
        <w:rPr>
          <w:rFonts w:hint="eastAsia" w:ascii="仿宋_GB2312" w:hAnsi="仿宋_GB2312" w:eastAsia="仿宋_GB2312" w:cs="仿宋_GB2312"/>
          <w:color w:val="auto"/>
          <w:sz w:val="32"/>
          <w:szCs w:val="32"/>
          <w:highlight w:val="none"/>
        </w:rPr>
        <w:t>过失或失职给采购方造成经济损失的，应当向采购方承担损失赔偿责任。</w:t>
      </w:r>
    </w:p>
    <w:p>
      <w:pPr>
        <w:pStyle w:val="6"/>
        <w:spacing w:line="600" w:lineRule="exact"/>
        <w:ind w:firstLine="640"/>
        <w:rPr>
          <w:rFonts w:hint="eastAsia" w:ascii="黑体" w:hAnsi="黑体" w:eastAsia="黑体" w:cs="黑体"/>
          <w:b/>
          <w:color w:val="auto"/>
          <w:kern w:val="0"/>
          <w:sz w:val="32"/>
          <w:szCs w:val="32"/>
          <w:highlight w:val="none"/>
          <w:lang w:val="en-US" w:eastAsia="zh-CN" w:bidi="ar-SA"/>
        </w:rPr>
      </w:pPr>
      <w:r>
        <w:rPr>
          <w:rFonts w:hint="eastAsia" w:ascii="黑体" w:hAnsi="黑体" w:eastAsia="黑体" w:cs="黑体"/>
          <w:b/>
          <w:color w:val="auto"/>
          <w:kern w:val="0"/>
          <w:sz w:val="32"/>
          <w:szCs w:val="32"/>
          <w:highlight w:val="none"/>
          <w:lang w:val="en-US" w:eastAsia="zh-CN" w:bidi="ar-SA"/>
        </w:rPr>
        <w:t>九.违约责任</w:t>
      </w:r>
    </w:p>
    <w:p>
      <w:pPr>
        <w:pStyle w:val="6"/>
        <w:spacing w:line="600" w:lineRule="exact"/>
        <w:ind w:firstLine="640"/>
        <w:rPr>
          <w:rFonts w:hint="eastAsia" w:ascii="仿宋_GB2312" w:hAnsi="仿宋_GB2312" w:eastAsia="仿宋_GB2312" w:cs="仿宋_GB2312"/>
          <w:color w:val="auto"/>
          <w:sz w:val="32"/>
          <w:szCs w:val="32"/>
          <w:highlight w:val="none"/>
          <w:lang w:val="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中标供应商未按约定履行相关义务的，采购单位有权责令限期改正，逾期仍未履行或履行不符合要求的，采购单位有权解除协议</w:t>
      </w:r>
      <w:r>
        <w:rPr>
          <w:rFonts w:hint="eastAsia" w:ascii="仿宋_GB2312" w:hAnsi="仿宋_GB2312" w:eastAsia="仿宋_GB2312" w:cs="仿宋_GB2312"/>
          <w:color w:val="auto"/>
          <w:sz w:val="32"/>
          <w:szCs w:val="32"/>
          <w:highlight w:val="none"/>
          <w:lang w:val="zh-CN"/>
        </w:rPr>
        <w:t>。</w:t>
      </w:r>
    </w:p>
    <w:p>
      <w:pPr>
        <w:pStyle w:val="6"/>
        <w:spacing w:line="600" w:lineRule="exact"/>
        <w:ind w:firstLine="64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标供应商审计人员应严守职业道德，如因弄虚作假、徇私舞弊、滥用职权等造成审核结果严重失实或发生其他重大过失、违约等情况，一经发现，采购单位有权取消中标供应商承接本项目的资格，并追究中标供应商的责任</w:t>
      </w:r>
      <w:r>
        <w:rPr>
          <w:rFonts w:hint="eastAsia" w:ascii="仿宋_GB2312" w:hAnsi="仿宋_GB2312" w:eastAsia="仿宋_GB2312" w:cs="仿宋_GB2312"/>
          <w:color w:val="auto"/>
          <w:sz w:val="32"/>
          <w:szCs w:val="32"/>
          <w:highlight w:val="none"/>
          <w:lang w:val="zh-CN"/>
        </w:rPr>
        <w:t>。</w:t>
      </w:r>
    </w:p>
    <w:p>
      <w:pPr>
        <w:tabs>
          <w:tab w:val="left" w:pos="812"/>
        </w:tabs>
        <w:ind w:firstLine="643" w:firstLineChars="200"/>
        <w:jc w:val="left"/>
        <w:rPr>
          <w:rFonts w:hint="eastAsia" w:ascii="黑体" w:hAnsi="黑体" w:eastAsia="黑体" w:cs="黑体"/>
          <w:b/>
          <w:color w:val="auto"/>
          <w:kern w:val="0"/>
          <w:sz w:val="32"/>
          <w:szCs w:val="32"/>
          <w:highlight w:val="none"/>
        </w:rPr>
      </w:pPr>
      <w:r>
        <w:rPr>
          <w:rFonts w:hint="eastAsia" w:ascii="黑体" w:hAnsi="黑体" w:eastAsia="黑体" w:cs="黑体"/>
          <w:b/>
          <w:color w:val="auto"/>
          <w:kern w:val="0"/>
          <w:sz w:val="32"/>
          <w:szCs w:val="32"/>
          <w:highlight w:val="none"/>
          <w:lang w:val="en-US" w:eastAsia="zh-CN"/>
        </w:rPr>
        <w:t>十</w:t>
      </w:r>
      <w:r>
        <w:rPr>
          <w:rFonts w:hint="eastAsia" w:ascii="黑体" w:hAnsi="黑体" w:eastAsia="黑体" w:cs="黑体"/>
          <w:b/>
          <w:color w:val="auto"/>
          <w:kern w:val="0"/>
          <w:sz w:val="32"/>
          <w:szCs w:val="32"/>
          <w:highlight w:val="none"/>
        </w:rPr>
        <w:t>、项目联系人及联系方式</w:t>
      </w:r>
    </w:p>
    <w:p>
      <w:pPr>
        <w:tabs>
          <w:tab w:val="left" w:pos="762"/>
        </w:tabs>
        <w:ind w:firstLine="640" w:firstLineChars="200"/>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项目联系人：龙岗区教育局谢老师</w:t>
      </w:r>
    </w:p>
    <w:p>
      <w:pPr>
        <w:tabs>
          <w:tab w:val="left" w:pos="762"/>
        </w:tabs>
        <w:ind w:firstLine="640" w:firstLineChars="200"/>
        <w:jc w:val="lef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联系方式：0755-89551952</w:t>
      </w:r>
    </w:p>
    <w:p>
      <w:pPr>
        <w:jc w:val="right"/>
        <w:rPr>
          <w:rFonts w:hint="eastAsia" w:ascii="仿宋_GB2312" w:hAnsi="仿宋_GB2312" w:eastAsia="仿宋_GB2312" w:cs="仿宋_GB2312"/>
          <w:bCs/>
          <w:color w:val="auto"/>
          <w:kern w:val="0"/>
          <w:sz w:val="32"/>
          <w:szCs w:val="32"/>
          <w:highlight w:val="none"/>
        </w:rPr>
      </w:pPr>
    </w:p>
    <w:p>
      <w:pPr>
        <w:jc w:val="right"/>
        <w:rPr>
          <w:rFonts w:hint="eastAsia" w:ascii="仿宋_GB2312" w:hAnsi="仿宋_GB2312" w:eastAsia="仿宋_GB2312" w:cs="仿宋_GB2312"/>
          <w:bCs/>
          <w:color w:val="auto"/>
          <w:kern w:val="0"/>
          <w:sz w:val="32"/>
          <w:szCs w:val="32"/>
          <w:highlight w:val="none"/>
        </w:rPr>
      </w:pPr>
    </w:p>
    <w:p>
      <w:pPr>
        <w:jc w:val="righ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龙岗区教育局</w:t>
      </w:r>
    </w:p>
    <w:p>
      <w:pPr>
        <w:jc w:val="right"/>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2022年1</w:t>
      </w:r>
      <w:r>
        <w:rPr>
          <w:rFonts w:hint="eastAsia" w:ascii="仿宋_GB2312" w:hAnsi="仿宋_GB2312" w:eastAsia="仿宋_GB2312" w:cs="仿宋_GB2312"/>
          <w:bCs/>
          <w:color w:val="auto"/>
          <w:kern w:val="0"/>
          <w:sz w:val="32"/>
          <w:szCs w:val="32"/>
          <w:highlight w:val="none"/>
          <w:lang w:val="en-US" w:eastAsia="zh-CN"/>
        </w:rPr>
        <w:t>0</w:t>
      </w:r>
      <w:r>
        <w:rPr>
          <w:rFonts w:hint="eastAsia" w:ascii="仿宋_GB2312" w:hAnsi="仿宋_GB2312" w:eastAsia="仿宋_GB2312" w:cs="仿宋_GB2312"/>
          <w:bCs/>
          <w:color w:val="auto"/>
          <w:kern w:val="0"/>
          <w:sz w:val="32"/>
          <w:szCs w:val="32"/>
          <w:highlight w:val="none"/>
        </w:rPr>
        <w:t>月</w:t>
      </w:r>
      <w:r>
        <w:rPr>
          <w:rFonts w:hint="eastAsia" w:ascii="仿宋_GB2312" w:hAnsi="仿宋_GB2312" w:eastAsia="仿宋_GB2312" w:cs="仿宋_GB2312"/>
          <w:bCs/>
          <w:color w:val="auto"/>
          <w:kern w:val="0"/>
          <w:sz w:val="32"/>
          <w:szCs w:val="32"/>
          <w:highlight w:val="none"/>
          <w:lang w:val="en-US" w:eastAsia="zh-CN"/>
        </w:rPr>
        <w:t>31</w:t>
      </w:r>
      <w:r>
        <w:rPr>
          <w:rFonts w:hint="eastAsia" w:ascii="仿宋_GB2312" w:hAnsi="仿宋_GB2312" w:eastAsia="仿宋_GB2312" w:cs="仿宋_GB2312"/>
          <w:bCs/>
          <w:color w:val="auto"/>
          <w:kern w:val="0"/>
          <w:sz w:val="32"/>
          <w:szCs w:val="32"/>
          <w:highlight w:val="none"/>
        </w:rPr>
        <w:t>日</w:t>
      </w:r>
    </w:p>
    <w:p>
      <w:pPr>
        <w:pStyle w:val="2"/>
        <w:rPr>
          <w:color w:val="auto"/>
          <w:highlight w:val="none"/>
        </w:rPr>
      </w:pPr>
    </w:p>
    <w:p>
      <w:pPr>
        <w:jc w:val="left"/>
        <w:rPr>
          <w:rFonts w:hint="eastAsia" w:ascii="仿宋" w:hAnsi="仿宋" w:eastAsia="仿宋" w:cs="仿宋"/>
          <w:bCs/>
          <w:color w:val="auto"/>
          <w:kern w:val="0"/>
          <w:sz w:val="32"/>
          <w:szCs w:val="32"/>
          <w:highlight w:val="none"/>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b/>
          <w:sz w:val="28"/>
          <w:szCs w:val="28"/>
        </w:rPr>
      </w:pPr>
      <w:r>
        <w:rPr>
          <w:rFonts w:hint="eastAsia" w:ascii="仿宋" w:hAnsi="仿宋" w:eastAsia="仿宋" w:cs="仿宋"/>
          <w:b w:val="0"/>
          <w:bCs/>
          <w:color w:val="auto"/>
          <w:kern w:val="0"/>
          <w:sz w:val="32"/>
          <w:szCs w:val="32"/>
          <w:lang w:val="en-US" w:eastAsia="zh-CN" w:bidi="ar-SA"/>
        </w:rPr>
        <w:t xml:space="preserve">附件2 </w:t>
      </w:r>
    </w:p>
    <w:p>
      <w:pPr>
        <w:spacing w:line="600" w:lineRule="exact"/>
        <w:ind w:firstLine="643" w:firstLineChars="200"/>
        <w:jc w:val="center"/>
        <w:rPr>
          <w:b/>
          <w:bCs/>
          <w:color w:val="FF0000"/>
          <w:sz w:val="32"/>
          <w:szCs w:val="32"/>
        </w:rPr>
      </w:pPr>
      <w:r>
        <w:rPr>
          <w:rFonts w:hint="eastAsia"/>
          <w:b/>
          <w:bCs/>
          <w:sz w:val="32"/>
          <w:szCs w:val="32"/>
        </w:rPr>
        <w:t>政府采购投标及履约承诺函</w:t>
      </w:r>
      <w:r>
        <w:rPr>
          <w:rFonts w:hint="eastAsia"/>
          <w:b/>
          <w:bCs/>
          <w:color w:val="FF0000"/>
          <w:sz w:val="32"/>
          <w:szCs w:val="32"/>
        </w:rPr>
        <w:t>（固定格式）</w:t>
      </w:r>
    </w:p>
    <w:p>
      <w:pPr>
        <w:rPr>
          <w:rFonts w:ascii="宋体" w:hAnsi="宋体"/>
          <w:sz w:val="28"/>
          <w:szCs w:val="28"/>
        </w:rPr>
      </w:pPr>
      <w:r>
        <w:rPr>
          <w:rFonts w:hint="eastAsia" w:ascii="宋体" w:hAnsi="宋体"/>
          <w:sz w:val="28"/>
          <w:szCs w:val="28"/>
        </w:rPr>
        <w:t>致：龙岗区教育局</w:t>
      </w:r>
    </w:p>
    <w:p>
      <w:pPr>
        <w:widowControl/>
        <w:ind w:firstLine="528" w:firstLineChars="220"/>
        <w:jc w:val="left"/>
        <w:rPr>
          <w:sz w:val="24"/>
        </w:rPr>
      </w:pPr>
      <w:r>
        <w:rPr>
          <w:rFonts w:hint="eastAsia"/>
          <w:sz w:val="24"/>
        </w:rPr>
        <w:t>我公司承诺：</w:t>
      </w:r>
    </w:p>
    <w:p>
      <w:pPr>
        <w:widowControl/>
        <w:ind w:firstLine="528" w:firstLineChars="220"/>
        <w:jc w:val="left"/>
        <w:rPr>
          <w:sz w:val="24"/>
        </w:rPr>
      </w:pPr>
      <w:r>
        <w:rPr>
          <w:rFonts w:hint="eastAsia"/>
          <w:sz w:val="24"/>
        </w:rPr>
        <w:t>1.我公司本招标项目所提供的货物或服务未侵犯知识产权。</w:t>
      </w:r>
    </w:p>
    <w:p>
      <w:pPr>
        <w:widowControl/>
        <w:ind w:firstLine="528" w:firstLineChars="220"/>
        <w:jc w:val="left"/>
        <w:rPr>
          <w:sz w:val="24"/>
        </w:rPr>
      </w:pPr>
      <w:r>
        <w:rPr>
          <w:rFonts w:hint="eastAsia"/>
          <w:sz w:val="24"/>
        </w:rPr>
        <w:t>2.我公司参与本项目投标前三年内，在经营活动中没有重大违法记录。</w:t>
      </w:r>
    </w:p>
    <w:p>
      <w:pPr>
        <w:widowControl/>
        <w:ind w:firstLine="528" w:firstLineChars="220"/>
        <w:jc w:val="left"/>
        <w:rPr>
          <w:sz w:val="24"/>
        </w:rPr>
      </w:pPr>
      <w:r>
        <w:rPr>
          <w:rFonts w:hint="eastAsia"/>
          <w:sz w:val="24"/>
        </w:rPr>
        <w:t>3.我公司参与本项目政府采购活动时不存在被有关部门禁止参与政府采购活动且在有效期内的情况。</w:t>
      </w:r>
    </w:p>
    <w:p>
      <w:pPr>
        <w:widowControl/>
        <w:ind w:firstLine="528" w:firstLineChars="220"/>
        <w:jc w:val="left"/>
        <w:rPr>
          <w:sz w:val="24"/>
        </w:rPr>
      </w:pPr>
      <w:r>
        <w:rPr>
          <w:rFonts w:hint="eastAsia"/>
          <w:sz w:val="24"/>
        </w:rPr>
        <w:t>4.我公司具备《中华人民共和国政府采购法》第二十二条第一款规定的六项条件。</w:t>
      </w:r>
    </w:p>
    <w:p>
      <w:pPr>
        <w:widowControl/>
        <w:ind w:firstLine="528" w:firstLineChars="220"/>
        <w:jc w:val="left"/>
        <w:rPr>
          <w:sz w:val="24"/>
        </w:rPr>
      </w:pPr>
      <w:r>
        <w:rPr>
          <w:rFonts w:hint="eastAsia"/>
          <w:sz w:val="24"/>
        </w:rPr>
        <w:t>5.我公司未被列入失信被执行人、重大税收违法案件当事人名单、政府采购严重违法失信行为记录名单</w:t>
      </w:r>
    </w:p>
    <w:p>
      <w:pPr>
        <w:widowControl/>
        <w:ind w:firstLine="528" w:firstLineChars="220"/>
        <w:jc w:val="left"/>
        <w:rPr>
          <w:sz w:val="24"/>
        </w:rPr>
      </w:pPr>
      <w:r>
        <w:rPr>
          <w:rFonts w:hint="eastAsia"/>
          <w:sz w:val="24"/>
        </w:rPr>
        <w:t>6.我公司参与该项目投标，严格遵守政府采购相关法律，投标做到诚实，不造假，不围标、串标、陪标。我公司已清楚，如违反上述要求，其投标将作无效处理，被列入不良记录名单并在网上曝光，同时将被提请政府采购监督管理部门给予一定年限内禁止参与政府采购活动或其他处罚。</w:t>
      </w:r>
    </w:p>
    <w:p>
      <w:pPr>
        <w:widowControl/>
        <w:ind w:firstLine="528" w:firstLineChars="220"/>
        <w:jc w:val="left"/>
        <w:rPr>
          <w:sz w:val="24"/>
        </w:rPr>
      </w:pPr>
      <w:r>
        <w:rPr>
          <w:rFonts w:hint="eastAsia"/>
          <w:sz w:val="24"/>
        </w:rPr>
        <w:t>7.我公司如果中标，做到守信，不偷工减料，依照本项目招标文件需求内容、签署的采购合同及本公司在投标中所作的一切承诺履约。项目验收达到全部指标合格，力争优良。</w:t>
      </w:r>
    </w:p>
    <w:p>
      <w:pPr>
        <w:widowControl/>
        <w:ind w:firstLine="528" w:firstLineChars="220"/>
        <w:jc w:val="left"/>
        <w:rPr>
          <w:sz w:val="24"/>
        </w:rPr>
      </w:pPr>
      <w:r>
        <w:rPr>
          <w:rFonts w:hint="eastAsia"/>
          <w:sz w:val="24"/>
        </w:rPr>
        <w:t>8.我公司承诺本项目的报价不低于我公司的成本价，否则，我公司清楚将面临投标无效的风险；我公司承诺不恶意低价谋取中标；我公司对本项目的报价负责，中标后将严格按照本项目招标文件需求、签署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widowControl/>
        <w:ind w:firstLine="528" w:firstLineChars="220"/>
        <w:jc w:val="left"/>
        <w:rPr>
          <w:sz w:val="24"/>
        </w:rPr>
      </w:pPr>
      <w:r>
        <w:rPr>
          <w:rFonts w:hint="eastAsia"/>
          <w:sz w:val="24"/>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widowControl/>
        <w:ind w:firstLine="528" w:firstLineChars="220"/>
        <w:jc w:val="left"/>
        <w:rPr>
          <w:sz w:val="24"/>
        </w:rPr>
      </w:pPr>
      <w:r>
        <w:rPr>
          <w:rFonts w:hint="eastAsia"/>
          <w:sz w:val="24"/>
        </w:rPr>
        <w:t>10.我公司承诺不非法转包、分包。</w:t>
      </w:r>
    </w:p>
    <w:p>
      <w:pPr>
        <w:widowControl/>
        <w:ind w:firstLine="528" w:firstLineChars="220"/>
        <w:jc w:val="left"/>
        <w:rPr>
          <w:sz w:val="24"/>
        </w:rPr>
      </w:pPr>
      <w:r>
        <w:rPr>
          <w:rFonts w:hint="eastAsia"/>
          <w:sz w:val="24"/>
        </w:rPr>
        <w:t>以上承诺，如有违反，愿依照国家相关法律处理，并承担由此给采购人带来的损失。</w:t>
      </w:r>
    </w:p>
    <w:p>
      <w:pPr>
        <w:widowControl/>
        <w:ind w:firstLine="462" w:firstLineChars="220"/>
        <w:jc w:val="left"/>
        <w:rPr>
          <w:szCs w:val="21"/>
        </w:rPr>
      </w:pPr>
      <w:r>
        <w:rPr>
          <w:szCs w:val="21"/>
        </w:rPr>
        <w:t xml:space="preserve">                                    </w:t>
      </w:r>
    </w:p>
    <w:p>
      <w:pPr>
        <w:ind w:firstLine="4080" w:firstLineChars="1700"/>
        <w:rPr>
          <w:sz w:val="24"/>
        </w:rPr>
      </w:pPr>
    </w:p>
    <w:p>
      <w:pPr>
        <w:ind w:firstLine="4080" w:firstLineChars="1700"/>
        <w:rPr>
          <w:sz w:val="24"/>
        </w:rPr>
      </w:pPr>
      <w:r>
        <w:rPr>
          <w:rFonts w:hint="eastAsia"/>
          <w:sz w:val="24"/>
        </w:rPr>
        <w:t xml:space="preserve">投标人（公章）：                             </w:t>
      </w:r>
    </w:p>
    <w:p>
      <w:pPr>
        <w:ind w:firstLine="4080" w:firstLineChars="1700"/>
        <w:rPr>
          <w:sz w:val="24"/>
        </w:rPr>
      </w:pPr>
      <w:r>
        <w:rPr>
          <w:rFonts w:hint="eastAsia"/>
          <w:sz w:val="24"/>
        </w:rPr>
        <w:t>日  期：      年   月   日</w:t>
      </w:r>
    </w:p>
    <w:p>
      <w:pPr>
        <w:pStyle w:val="2"/>
        <w:rPr>
          <w:color w:val="auto"/>
          <w:highlight w:val="none"/>
        </w:rPr>
      </w:pPr>
    </w:p>
    <w:p>
      <w:pPr>
        <w:pStyle w:val="2"/>
        <w:rPr>
          <w:color w:val="auto"/>
          <w:highlight w:val="none"/>
        </w:rPr>
      </w:pPr>
    </w:p>
    <w:p>
      <w:pPr>
        <w:pStyle w:val="2"/>
        <w:rPr>
          <w:rFonts w:hint="eastAsia"/>
          <w:color w:val="auto"/>
          <w:highlight w:val="none"/>
        </w:rPr>
      </w:pPr>
    </w:p>
    <w:p>
      <w:pPr>
        <w:jc w:val="left"/>
        <w:rPr>
          <w:rFonts w:hint="eastAsia" w:ascii="仿宋" w:hAnsi="仿宋" w:eastAsia="仿宋" w:cs="仿宋"/>
          <w:b/>
          <w:color w:val="auto"/>
          <w:sz w:val="28"/>
          <w:szCs w:val="28"/>
          <w:highlight w:val="none"/>
        </w:rPr>
      </w:pPr>
      <w:r>
        <w:rPr>
          <w:rFonts w:hint="eastAsia" w:ascii="仿宋" w:hAnsi="仿宋" w:eastAsia="仿宋" w:cs="仿宋"/>
          <w:bCs/>
          <w:color w:val="auto"/>
          <w:kern w:val="0"/>
          <w:sz w:val="32"/>
          <w:szCs w:val="32"/>
          <w:highlight w:val="none"/>
        </w:rPr>
        <w:t>附件</w:t>
      </w:r>
      <w:r>
        <w:rPr>
          <w:rFonts w:ascii="仿宋" w:hAnsi="仿宋" w:eastAsia="仿宋" w:cs="仿宋"/>
          <w:bCs/>
          <w:color w:val="auto"/>
          <w:kern w:val="0"/>
          <w:sz w:val="32"/>
          <w:szCs w:val="32"/>
          <w:highlight w:val="none"/>
        </w:rPr>
        <w:t>3</w:t>
      </w:r>
      <w:r>
        <w:rPr>
          <w:rFonts w:hint="eastAsia" w:ascii="仿宋" w:hAnsi="仿宋" w:eastAsia="仿宋" w:cs="仿宋"/>
          <w:bCs/>
          <w:color w:val="auto"/>
          <w:kern w:val="0"/>
          <w:sz w:val="32"/>
          <w:szCs w:val="32"/>
          <w:highlight w:val="none"/>
        </w:rPr>
        <w:t>：</w:t>
      </w:r>
    </w:p>
    <w:p>
      <w:pPr>
        <w:pStyle w:val="4"/>
        <w:spacing w:before="120" w:after="120"/>
        <w:jc w:val="center"/>
        <w:rPr>
          <w:rFonts w:ascii="黑体" w:hAnsi="黑体" w:eastAsia="黑体" w:cs="黑体"/>
          <w:color w:val="auto"/>
          <w:sz w:val="48"/>
          <w:szCs w:val="96"/>
          <w:highlight w:val="none"/>
        </w:rPr>
      </w:pPr>
    </w:p>
    <w:p>
      <w:pPr>
        <w:pStyle w:val="4"/>
        <w:spacing w:before="120" w:after="120"/>
        <w:jc w:val="center"/>
        <w:rPr>
          <w:rFonts w:ascii="黑体" w:hAnsi="黑体" w:eastAsia="黑体" w:cs="黑体"/>
          <w:b w:val="0"/>
          <w:color w:val="auto"/>
          <w:sz w:val="180"/>
          <w:szCs w:val="96"/>
          <w:highlight w:val="none"/>
        </w:rPr>
      </w:pPr>
      <w:r>
        <w:rPr>
          <w:rFonts w:hint="eastAsia" w:ascii="黑体" w:hAnsi="黑体" w:eastAsia="黑体" w:cs="黑体"/>
          <w:color w:val="auto"/>
          <w:sz w:val="48"/>
          <w:szCs w:val="96"/>
          <w:highlight w:val="none"/>
        </w:rPr>
        <w:t>开标一览表</w:t>
      </w:r>
    </w:p>
    <w:p>
      <w:pPr>
        <w:ind w:right="525"/>
        <w:jc w:val="right"/>
        <w:rPr>
          <w:b/>
          <w:bCs/>
          <w:snapToGrid w:val="0"/>
          <w:color w:val="auto"/>
          <w:kern w:val="0"/>
          <w:sz w:val="18"/>
          <w:szCs w:val="18"/>
          <w:highlight w:val="none"/>
        </w:rPr>
      </w:pPr>
      <w:r>
        <w:rPr>
          <w:bCs/>
          <w:snapToGrid w:val="0"/>
          <w:color w:val="auto"/>
          <w:kern w:val="0"/>
          <w:sz w:val="18"/>
          <w:szCs w:val="18"/>
          <w:highlight w:val="none"/>
        </w:rPr>
        <w:t xml:space="preserve">         </w:t>
      </w:r>
      <w:r>
        <w:rPr>
          <w:bCs/>
          <w:snapToGrid w:val="0"/>
          <w:color w:val="auto"/>
          <w:kern w:val="0"/>
          <w:sz w:val="22"/>
          <w:szCs w:val="22"/>
          <w:highlight w:val="none"/>
        </w:rPr>
        <w:t xml:space="preserve"> </w:t>
      </w:r>
      <w:r>
        <w:rPr>
          <w:b/>
          <w:bCs/>
          <w:snapToGrid w:val="0"/>
          <w:color w:val="auto"/>
          <w:kern w:val="0"/>
          <w:sz w:val="22"/>
          <w:szCs w:val="22"/>
          <w:highlight w:val="none"/>
        </w:rPr>
        <w:t>单位：人民币元</w:t>
      </w:r>
    </w:p>
    <w:p>
      <w:pPr>
        <w:rPr>
          <w:snapToGrid w:val="0"/>
          <w:color w:val="auto"/>
          <w:kern w:val="0"/>
          <w:highlight w:val="none"/>
        </w:rPr>
      </w:pPr>
    </w:p>
    <w:tbl>
      <w:tblPr>
        <w:tblStyle w:val="13"/>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2877"/>
        <w:gridCol w:w="3598"/>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36"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序号</w:t>
            </w:r>
          </w:p>
        </w:tc>
        <w:tc>
          <w:tcPr>
            <w:tcW w:w="2877"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需求内容</w:t>
            </w:r>
          </w:p>
        </w:tc>
        <w:tc>
          <w:tcPr>
            <w:tcW w:w="3598"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投标价</w:t>
            </w:r>
          </w:p>
        </w:tc>
        <w:tc>
          <w:tcPr>
            <w:tcW w:w="1547"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6" w:type="dxa"/>
            <w:vAlign w:val="center"/>
          </w:tcPr>
          <w:p>
            <w:pPr>
              <w:jc w:val="center"/>
              <w:rPr>
                <w:rFonts w:ascii="宋体" w:hAnsi="宋体" w:cs="宋体"/>
                <w:color w:val="auto"/>
                <w:sz w:val="28"/>
                <w:szCs w:val="28"/>
                <w:highlight w:val="none"/>
              </w:rPr>
            </w:pPr>
            <w:r>
              <w:rPr>
                <w:rFonts w:hint="eastAsia" w:ascii="宋体" w:hAnsi="宋体" w:cs="宋体"/>
                <w:color w:val="auto"/>
                <w:sz w:val="28"/>
                <w:szCs w:val="28"/>
                <w:highlight w:val="none"/>
              </w:rPr>
              <w:t>1</w:t>
            </w:r>
          </w:p>
        </w:tc>
        <w:tc>
          <w:tcPr>
            <w:tcW w:w="2877" w:type="dxa"/>
            <w:vAlign w:val="center"/>
          </w:tcPr>
          <w:p>
            <w:pPr>
              <w:jc w:val="center"/>
              <w:rPr>
                <w:rFonts w:ascii="宋体" w:hAnsi="宋体" w:cs="宋体"/>
                <w:color w:val="auto"/>
                <w:sz w:val="28"/>
                <w:szCs w:val="28"/>
                <w:highlight w:val="none"/>
              </w:rPr>
            </w:pPr>
            <w:r>
              <w:rPr>
                <w:rFonts w:hint="eastAsia" w:ascii="仿宋" w:hAnsi="仿宋" w:eastAsia="仿宋" w:cs="仿宋"/>
                <w:color w:val="auto"/>
                <w:sz w:val="32"/>
                <w:szCs w:val="32"/>
                <w:highlight w:val="none"/>
              </w:rPr>
              <w:t>27所民办学校厕所改造工程结算审核</w:t>
            </w:r>
          </w:p>
        </w:tc>
        <w:tc>
          <w:tcPr>
            <w:tcW w:w="3598" w:type="dxa"/>
            <w:vAlign w:val="center"/>
          </w:tcPr>
          <w:p>
            <w:pPr>
              <w:jc w:val="left"/>
              <w:rPr>
                <w:rFonts w:ascii="宋体" w:hAnsi="宋体" w:cs="宋体"/>
                <w:color w:val="auto"/>
                <w:sz w:val="28"/>
                <w:szCs w:val="28"/>
                <w:highlight w:val="none"/>
              </w:rPr>
            </w:pPr>
            <w:r>
              <w:rPr>
                <w:rFonts w:hint="eastAsia" w:ascii="宋体" w:hAnsi="宋体" w:cs="宋体"/>
                <w:color w:val="auto"/>
                <w:sz w:val="28"/>
                <w:szCs w:val="28"/>
                <w:highlight w:val="none"/>
              </w:rPr>
              <w:t>大写：</w:t>
            </w:r>
          </w:p>
          <w:p>
            <w:pPr>
              <w:jc w:val="left"/>
              <w:rPr>
                <w:rFonts w:ascii="宋体" w:hAnsi="宋体" w:cs="宋体"/>
                <w:color w:val="auto"/>
                <w:sz w:val="28"/>
                <w:szCs w:val="28"/>
                <w:highlight w:val="none"/>
              </w:rPr>
            </w:pPr>
            <w:r>
              <w:rPr>
                <w:rFonts w:hint="eastAsia" w:ascii="宋体" w:hAnsi="宋体" w:cs="宋体"/>
                <w:color w:val="auto"/>
                <w:sz w:val="28"/>
                <w:szCs w:val="28"/>
                <w:highlight w:val="none"/>
              </w:rPr>
              <w:t>小写：</w:t>
            </w:r>
          </w:p>
        </w:tc>
        <w:tc>
          <w:tcPr>
            <w:tcW w:w="1547" w:type="dxa"/>
            <w:vAlign w:val="center"/>
          </w:tcPr>
          <w:p>
            <w:pPr>
              <w:jc w:val="center"/>
              <w:rPr>
                <w:rFonts w:ascii="宋体" w:hAnsi="宋体" w:cs="宋体"/>
                <w:color w:val="auto"/>
                <w:sz w:val="28"/>
                <w:szCs w:val="28"/>
                <w:highlight w:val="none"/>
              </w:rPr>
            </w:pPr>
          </w:p>
        </w:tc>
      </w:tr>
    </w:tbl>
    <w:p>
      <w:pPr>
        <w:rPr>
          <w:snapToGrid w:val="0"/>
          <w:color w:val="auto"/>
          <w:kern w:val="0"/>
          <w:highlight w:val="none"/>
        </w:rPr>
      </w:pPr>
    </w:p>
    <w:p>
      <w:pPr>
        <w:rPr>
          <w:snapToGrid w:val="0"/>
          <w:color w:val="auto"/>
          <w:kern w:val="0"/>
          <w:sz w:val="28"/>
          <w:szCs w:val="36"/>
          <w:highlight w:val="none"/>
        </w:rPr>
      </w:pPr>
      <w:r>
        <w:rPr>
          <w:snapToGrid w:val="0"/>
          <w:color w:val="auto"/>
          <w:kern w:val="0"/>
          <w:sz w:val="28"/>
          <w:szCs w:val="36"/>
          <w:highlight w:val="none"/>
        </w:rPr>
        <w:t>注：1.价格应按“招标文件”中规定的货币单位填写。</w:t>
      </w:r>
    </w:p>
    <w:p>
      <w:pPr>
        <w:rPr>
          <w:snapToGrid w:val="0"/>
          <w:color w:val="auto"/>
          <w:kern w:val="0"/>
          <w:sz w:val="28"/>
          <w:szCs w:val="36"/>
          <w:highlight w:val="none"/>
        </w:rPr>
      </w:pPr>
      <w:r>
        <w:rPr>
          <w:snapToGrid w:val="0"/>
          <w:color w:val="auto"/>
          <w:kern w:val="0"/>
          <w:sz w:val="28"/>
          <w:szCs w:val="36"/>
          <w:highlight w:val="none"/>
        </w:rPr>
        <w:t xml:space="preserve">    2.</w:t>
      </w:r>
      <w:r>
        <w:rPr>
          <w:rFonts w:hint="eastAsia"/>
          <w:snapToGrid w:val="0"/>
          <w:color w:val="auto"/>
          <w:kern w:val="0"/>
          <w:sz w:val="28"/>
          <w:szCs w:val="36"/>
          <w:highlight w:val="none"/>
        </w:rPr>
        <w:t>按服务总价报价，报价不得超过240,000元，否则按无效投标处理。</w:t>
      </w:r>
    </w:p>
    <w:p>
      <w:pPr>
        <w:ind w:firstLine="420"/>
        <w:rPr>
          <w:color w:val="auto"/>
          <w:sz w:val="28"/>
          <w:szCs w:val="36"/>
          <w:highlight w:val="none"/>
        </w:rPr>
      </w:pPr>
      <w:r>
        <w:rPr>
          <w:snapToGrid w:val="0"/>
          <w:color w:val="auto"/>
          <w:kern w:val="0"/>
          <w:sz w:val="28"/>
          <w:szCs w:val="36"/>
          <w:highlight w:val="none"/>
        </w:rPr>
        <w:t>3.投标人如果需要对报价或其它内容加以说明，可在备注栏填写。</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附件</w:t>
      </w:r>
      <w:r>
        <w:rPr>
          <w:rFonts w:ascii="仿宋" w:hAnsi="仿宋" w:eastAsia="仿宋" w:cs="仿宋"/>
          <w:bCs/>
          <w:color w:val="auto"/>
          <w:sz w:val="32"/>
          <w:szCs w:val="32"/>
          <w:highlight w:val="none"/>
        </w:rPr>
        <w:t>4</w:t>
      </w:r>
      <w:r>
        <w:rPr>
          <w:rFonts w:hint="eastAsia" w:ascii="仿宋" w:hAnsi="仿宋" w:eastAsia="仿宋" w:cs="仿宋"/>
          <w:bCs/>
          <w:color w:val="auto"/>
          <w:sz w:val="32"/>
          <w:szCs w:val="32"/>
          <w:highlight w:val="none"/>
        </w:rPr>
        <w:t>：</w:t>
      </w:r>
    </w:p>
    <w:p>
      <w:pPr>
        <w:pStyle w:val="2"/>
        <w:jc w:val="center"/>
        <w:rPr>
          <w:rFonts w:ascii="黑体" w:hAnsi="黑体" w:eastAsia="黑体" w:cs="仿宋"/>
          <w:bCs/>
          <w:color w:val="auto"/>
          <w:sz w:val="36"/>
          <w:szCs w:val="36"/>
          <w:highlight w:val="none"/>
        </w:rPr>
      </w:pPr>
      <w:r>
        <w:rPr>
          <w:rFonts w:hint="eastAsia" w:ascii="黑体" w:hAnsi="黑体" w:eastAsia="黑体" w:cs="仿宋"/>
          <w:bCs/>
          <w:color w:val="auto"/>
          <w:sz w:val="36"/>
          <w:szCs w:val="36"/>
          <w:highlight w:val="none"/>
        </w:rPr>
        <w:t>须回避的造价咨询公司名单</w:t>
      </w:r>
    </w:p>
    <w:tbl>
      <w:tblPr>
        <w:tblStyle w:val="12"/>
        <w:tblW w:w="7620" w:type="dxa"/>
        <w:tblInd w:w="0" w:type="dxa"/>
        <w:tblLayout w:type="fixed"/>
        <w:tblCellMar>
          <w:top w:w="15" w:type="dxa"/>
          <w:left w:w="15" w:type="dxa"/>
          <w:bottom w:w="15" w:type="dxa"/>
          <w:right w:w="15" w:type="dxa"/>
        </w:tblCellMar>
      </w:tblPr>
      <w:tblGrid>
        <w:gridCol w:w="1381"/>
        <w:gridCol w:w="6239"/>
      </w:tblGrid>
      <w:tr>
        <w:tblPrEx>
          <w:tblCellMar>
            <w:top w:w="15" w:type="dxa"/>
            <w:left w:w="15" w:type="dxa"/>
            <w:bottom w:w="15" w:type="dxa"/>
            <w:right w:w="15" w:type="dxa"/>
          </w:tblCellMar>
        </w:tblPrEx>
        <w:trPr>
          <w:trHeight w:val="495" w:hRule="atLeast"/>
          <w:tblHeader/>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lang w:bidi="ar"/>
              </w:rPr>
              <w:t>序号</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auto"/>
                <w:sz w:val="24"/>
                <w:highlight w:val="none"/>
              </w:rPr>
            </w:pPr>
            <w:r>
              <w:rPr>
                <w:rFonts w:hint="eastAsia" w:ascii="宋体" w:hAnsi="宋体" w:cs="宋体"/>
                <w:b/>
                <w:bCs/>
                <w:color w:val="auto"/>
                <w:kern w:val="0"/>
                <w:sz w:val="24"/>
                <w:highlight w:val="none"/>
                <w:lang w:bidi="ar"/>
              </w:rPr>
              <w:t>造价咨询公司名称</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lang w:bidi="ar"/>
              </w:rPr>
              <w:t>1</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大成工程咨询有限公司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2</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广东确正工程咨询有限公司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3</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广东天建工程管理有限公司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4</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广州新业建设管理有限公司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5</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深圳群伦项目管理有限公司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6</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深圳群伦项目管理有限公司罗湖分公司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7</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深圳市诚朴工程造价咨询有限公司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8</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深圳市合一技术咨询有限公司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9</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深圳市普利工程咨询有限公司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10</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深圳市祺骏建设工程顾问有限公司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11</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中鸿信工程咨询有限公司</w:t>
            </w:r>
          </w:p>
        </w:tc>
      </w:tr>
      <w:tr>
        <w:tblPrEx>
          <w:tblCellMar>
            <w:top w:w="15" w:type="dxa"/>
            <w:left w:w="15" w:type="dxa"/>
            <w:bottom w:w="15" w:type="dxa"/>
            <w:right w:w="15" w:type="dxa"/>
          </w:tblCellMar>
        </w:tblPrEx>
        <w:trPr>
          <w:trHeight w:val="495" w:hRule="atLeast"/>
        </w:trPr>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12</w:t>
            </w:r>
          </w:p>
        </w:tc>
        <w:tc>
          <w:tcPr>
            <w:tcW w:w="62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 w:val="24"/>
                <w:highlight w:val="none"/>
              </w:rPr>
            </w:pPr>
            <w:r>
              <w:rPr>
                <w:rFonts w:hint="eastAsia" w:ascii="宋体" w:hAnsi="宋体" w:cs="宋体"/>
                <w:color w:val="auto"/>
                <w:sz w:val="24"/>
                <w:highlight w:val="none"/>
              </w:rPr>
              <w:t>中泰天顺集团有限责任公司</w:t>
            </w:r>
          </w:p>
        </w:tc>
      </w:tr>
    </w:tbl>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jc w:val="center"/>
        <w:rPr>
          <w:color w:val="auto"/>
          <w:highlight w:val="none"/>
        </w:rPr>
      </w:pPr>
    </w:p>
    <w:p>
      <w:pPr>
        <w:pStyle w:val="2"/>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val="en-US" w:eastAsia="zh-CN"/>
        </w:rPr>
        <w:t>附件5：</w:t>
      </w:r>
    </w:p>
    <w:p>
      <w:pPr>
        <w:pStyle w:val="2"/>
        <w:jc w:val="center"/>
        <w:rPr>
          <w:rFonts w:hint="eastAsia" w:ascii="Times New Roman" w:hAnsi="Times New Roman" w:eastAsia="宋体" w:cs="Times New Roman"/>
          <w:b/>
          <w:bCs/>
          <w:kern w:val="2"/>
          <w:sz w:val="32"/>
          <w:szCs w:val="32"/>
          <w:lang w:val="en-US" w:eastAsia="zh-CN" w:bidi="ar-SA"/>
        </w:rPr>
      </w:pPr>
      <w:r>
        <w:rPr>
          <w:rFonts w:hint="eastAsia" w:ascii="Times New Roman" w:hAnsi="Times New Roman" w:eastAsia="宋体" w:cs="Times New Roman"/>
          <w:b/>
          <w:bCs/>
          <w:kern w:val="2"/>
          <w:sz w:val="32"/>
          <w:szCs w:val="32"/>
          <w:lang w:val="en-US" w:eastAsia="zh-CN" w:bidi="ar-SA"/>
        </w:rPr>
        <w:t>完成时间承诺函</w:t>
      </w:r>
    </w:p>
    <w:p>
      <w:pPr>
        <w:rPr>
          <w:rFonts w:ascii="宋体" w:hAnsi="宋体"/>
          <w:color w:val="auto"/>
          <w:sz w:val="28"/>
          <w:szCs w:val="28"/>
          <w:highlight w:val="none"/>
        </w:rPr>
      </w:pPr>
      <w:r>
        <w:rPr>
          <w:rFonts w:hint="eastAsia" w:ascii="宋体" w:hAnsi="宋体"/>
          <w:color w:val="auto"/>
          <w:sz w:val="28"/>
          <w:szCs w:val="28"/>
          <w:highlight w:val="none"/>
        </w:rPr>
        <w:t>致：龙岗区教育局</w:t>
      </w:r>
    </w:p>
    <w:p>
      <w:pPr>
        <w:widowControl/>
        <w:ind w:firstLine="528" w:firstLineChars="220"/>
        <w:jc w:val="left"/>
        <w:rPr>
          <w:rFonts w:hint="eastAsia"/>
          <w:sz w:val="24"/>
        </w:rPr>
      </w:pPr>
      <w:r>
        <w:rPr>
          <w:rFonts w:hint="eastAsia"/>
          <w:sz w:val="24"/>
        </w:rPr>
        <w:t>我公司承诺：</w:t>
      </w:r>
    </w:p>
    <w:p>
      <w:pPr>
        <w:ind w:firstLine="560" w:firstLineChars="200"/>
        <w:rPr>
          <w:rFonts w:hint="default" w:ascii="宋体" w:hAnsi="宋体"/>
          <w:color w:val="auto"/>
          <w:sz w:val="28"/>
          <w:szCs w:val="28"/>
          <w:highlight w:val="none"/>
          <w:lang w:val="en-US" w:eastAsia="zh-CN"/>
        </w:rPr>
      </w:pPr>
      <w:r>
        <w:rPr>
          <w:rFonts w:hint="eastAsia" w:ascii="宋体" w:hAnsi="宋体"/>
          <w:color w:val="auto"/>
          <w:sz w:val="28"/>
          <w:szCs w:val="28"/>
          <w:highlight w:val="none"/>
          <w:lang w:val="en-US" w:eastAsia="zh-CN"/>
        </w:rPr>
        <w:t>XXX</w:t>
      </w:r>
    </w:p>
    <w:p>
      <w:pPr>
        <w:widowControl/>
        <w:ind w:firstLine="528" w:firstLineChars="220"/>
        <w:jc w:val="left"/>
        <w:rPr>
          <w:rFonts w:hint="eastAsia"/>
          <w:sz w:val="24"/>
          <w:lang w:val="en-US" w:eastAsia="zh-CN"/>
        </w:rPr>
      </w:pPr>
      <w:r>
        <w:rPr>
          <w:rFonts w:hint="eastAsia"/>
          <w:sz w:val="24"/>
          <w:lang w:val="en-US" w:eastAsia="zh-CN"/>
        </w:rPr>
        <w:t>(格式自拟）</w:t>
      </w:r>
    </w:p>
    <w:p>
      <w:pPr>
        <w:pStyle w:val="2"/>
        <w:rPr>
          <w:rFonts w:hint="eastAsia" w:ascii="宋体" w:hAnsi="宋体"/>
          <w:color w:val="auto"/>
          <w:sz w:val="28"/>
          <w:szCs w:val="28"/>
          <w:highlight w:val="none"/>
          <w:lang w:val="en-US" w:eastAsia="zh-CN"/>
        </w:rPr>
      </w:pPr>
    </w:p>
    <w:p>
      <w:pPr>
        <w:pStyle w:val="2"/>
        <w:jc w:val="center"/>
        <w:rPr>
          <w:rFonts w:hint="default" w:ascii="Times New Roman" w:hAnsi="Times New Roman" w:eastAsia="宋体" w:cs="Times New Roman"/>
          <w:kern w:val="2"/>
          <w:sz w:val="24"/>
          <w:szCs w:val="24"/>
          <w:lang w:val="en-US" w:eastAsia="zh-CN" w:bidi="ar-SA"/>
        </w:rPr>
      </w:pPr>
      <w:r>
        <w:rPr>
          <w:rFonts w:hint="eastAsia"/>
          <w:color w:val="auto"/>
          <w:sz w:val="24"/>
          <w:highlight w:val="none"/>
          <w:lang w:val="en-US" w:eastAsia="zh-CN"/>
        </w:rPr>
        <w:t xml:space="preserve">                              </w:t>
      </w:r>
      <w:r>
        <w:rPr>
          <w:rFonts w:hint="eastAsia" w:ascii="Times New Roman" w:hAnsi="Times New Roman" w:eastAsia="宋体" w:cs="Times New Roman"/>
          <w:kern w:val="2"/>
          <w:sz w:val="24"/>
          <w:szCs w:val="24"/>
          <w:lang w:val="en-US" w:eastAsia="zh-CN" w:bidi="ar-SA"/>
        </w:rPr>
        <w:t xml:space="preserve">    投标人（公章）： </w:t>
      </w:r>
    </w:p>
    <w:p>
      <w:pPr>
        <w:bidi w:val="0"/>
        <w:jc w:val="righ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日  期：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1948369"/>
      <w:docPartObj>
        <w:docPartGallery w:val="autotext"/>
      </w:docPartObj>
    </w:sdtPr>
    <w:sdtContent>
      <w:sdt>
        <w:sdtPr>
          <w:id w:val="1728636285"/>
          <w:docPartObj>
            <w:docPartGallery w:val="autotext"/>
          </w:docPartObj>
        </w:sdtPr>
        <w:sdtContent>
          <w:p>
            <w:pPr>
              <w:pStyle w:val="9"/>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5F9C72"/>
    <w:multiLevelType w:val="singleLevel"/>
    <w:tmpl w:val="5D5F9C72"/>
    <w:lvl w:ilvl="0" w:tentative="0">
      <w:start w:val="1"/>
      <w:numFmt w:val="decimal"/>
      <w:suff w:val="nothing"/>
      <w:lvlText w:val="%1．"/>
      <w:lvlJc w:val="left"/>
    </w:lvl>
  </w:abstractNum>
  <w:abstractNum w:abstractNumId="1">
    <w:nsid w:val="63316B87"/>
    <w:multiLevelType w:val="singleLevel"/>
    <w:tmpl w:val="63316B87"/>
    <w:lvl w:ilvl="0" w:tentative="0">
      <w:start w:val="1"/>
      <w:numFmt w:val="chineseCounting"/>
      <w:suff w:val="nothing"/>
      <w:lvlText w:val="（%1）"/>
      <w:lvlJc w:val="left"/>
    </w:lvl>
  </w:abstractNum>
  <w:abstractNum w:abstractNumId="2">
    <w:nsid w:val="63325199"/>
    <w:multiLevelType w:val="singleLevel"/>
    <w:tmpl w:val="6332519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EwYjkxZTI4YjZlZjg4ZGRkNzc5YWFhYjYwMWI5NGMifQ=="/>
  </w:docVars>
  <w:rsids>
    <w:rsidRoot w:val="2C875C1A"/>
    <w:rsid w:val="002435F9"/>
    <w:rsid w:val="004D722E"/>
    <w:rsid w:val="00676C9B"/>
    <w:rsid w:val="0072685D"/>
    <w:rsid w:val="00731068"/>
    <w:rsid w:val="00736A56"/>
    <w:rsid w:val="007579C9"/>
    <w:rsid w:val="007E5EC2"/>
    <w:rsid w:val="009076B7"/>
    <w:rsid w:val="009607BE"/>
    <w:rsid w:val="009A0B7F"/>
    <w:rsid w:val="00AC1BAB"/>
    <w:rsid w:val="00B77601"/>
    <w:rsid w:val="00BC23F5"/>
    <w:rsid w:val="00BF485E"/>
    <w:rsid w:val="00ED15B1"/>
    <w:rsid w:val="00F90D96"/>
    <w:rsid w:val="00FF1A55"/>
    <w:rsid w:val="01FD0FC0"/>
    <w:rsid w:val="020E6C8E"/>
    <w:rsid w:val="02422C43"/>
    <w:rsid w:val="039A6AE9"/>
    <w:rsid w:val="050B0AD1"/>
    <w:rsid w:val="0531714E"/>
    <w:rsid w:val="05467DF9"/>
    <w:rsid w:val="062F562D"/>
    <w:rsid w:val="068F0D1F"/>
    <w:rsid w:val="074B44E7"/>
    <w:rsid w:val="07972AF0"/>
    <w:rsid w:val="0799091F"/>
    <w:rsid w:val="07C656A6"/>
    <w:rsid w:val="09376A22"/>
    <w:rsid w:val="09931921"/>
    <w:rsid w:val="0A1D3273"/>
    <w:rsid w:val="0AB44ED8"/>
    <w:rsid w:val="0ADA657C"/>
    <w:rsid w:val="0C4A099C"/>
    <w:rsid w:val="0C8B3154"/>
    <w:rsid w:val="0DBF5553"/>
    <w:rsid w:val="0E202EC6"/>
    <w:rsid w:val="0E3F32FA"/>
    <w:rsid w:val="138713E8"/>
    <w:rsid w:val="15020C8C"/>
    <w:rsid w:val="15473D01"/>
    <w:rsid w:val="159625FC"/>
    <w:rsid w:val="16D57191"/>
    <w:rsid w:val="171E1A22"/>
    <w:rsid w:val="173F05D3"/>
    <w:rsid w:val="180A0AF9"/>
    <w:rsid w:val="18850165"/>
    <w:rsid w:val="18F57676"/>
    <w:rsid w:val="18FE7161"/>
    <w:rsid w:val="19727C40"/>
    <w:rsid w:val="1AB059B3"/>
    <w:rsid w:val="1CF05D2C"/>
    <w:rsid w:val="1E6E167D"/>
    <w:rsid w:val="1EA4037E"/>
    <w:rsid w:val="20384A18"/>
    <w:rsid w:val="274F193C"/>
    <w:rsid w:val="27C31579"/>
    <w:rsid w:val="28ED295F"/>
    <w:rsid w:val="291E666C"/>
    <w:rsid w:val="2A846AAC"/>
    <w:rsid w:val="2C875C1A"/>
    <w:rsid w:val="2ED50192"/>
    <w:rsid w:val="2F7549E3"/>
    <w:rsid w:val="31423088"/>
    <w:rsid w:val="329B630A"/>
    <w:rsid w:val="33CC1486"/>
    <w:rsid w:val="36FE0C3C"/>
    <w:rsid w:val="37211FF3"/>
    <w:rsid w:val="385F5B52"/>
    <w:rsid w:val="38A6789F"/>
    <w:rsid w:val="39671A73"/>
    <w:rsid w:val="39CD5569"/>
    <w:rsid w:val="39D95F49"/>
    <w:rsid w:val="3C4C09D6"/>
    <w:rsid w:val="3E1C72DB"/>
    <w:rsid w:val="3E4915E0"/>
    <w:rsid w:val="405F24E4"/>
    <w:rsid w:val="40672358"/>
    <w:rsid w:val="40FC7ECE"/>
    <w:rsid w:val="435B0231"/>
    <w:rsid w:val="4794410D"/>
    <w:rsid w:val="47A87823"/>
    <w:rsid w:val="48084421"/>
    <w:rsid w:val="495B3177"/>
    <w:rsid w:val="49DE7CF2"/>
    <w:rsid w:val="4A091520"/>
    <w:rsid w:val="4B011563"/>
    <w:rsid w:val="4BC44A01"/>
    <w:rsid w:val="4BF53591"/>
    <w:rsid w:val="4C81621B"/>
    <w:rsid w:val="4C854292"/>
    <w:rsid w:val="4EA056A9"/>
    <w:rsid w:val="4F6C34E7"/>
    <w:rsid w:val="50317F9E"/>
    <w:rsid w:val="5115210E"/>
    <w:rsid w:val="51B8146F"/>
    <w:rsid w:val="51E333FD"/>
    <w:rsid w:val="5219601D"/>
    <w:rsid w:val="52DE46FC"/>
    <w:rsid w:val="53754134"/>
    <w:rsid w:val="5377020C"/>
    <w:rsid w:val="545E7610"/>
    <w:rsid w:val="54D27296"/>
    <w:rsid w:val="55114594"/>
    <w:rsid w:val="55D83092"/>
    <w:rsid w:val="572821CF"/>
    <w:rsid w:val="594333FC"/>
    <w:rsid w:val="59F11AD1"/>
    <w:rsid w:val="59FA4D24"/>
    <w:rsid w:val="5ACB2C66"/>
    <w:rsid w:val="5C3A2B35"/>
    <w:rsid w:val="5ED60568"/>
    <w:rsid w:val="612D6A0E"/>
    <w:rsid w:val="63711771"/>
    <w:rsid w:val="65815AE7"/>
    <w:rsid w:val="65D412F8"/>
    <w:rsid w:val="65EE5929"/>
    <w:rsid w:val="66A3595F"/>
    <w:rsid w:val="66DA5CDF"/>
    <w:rsid w:val="671E5F06"/>
    <w:rsid w:val="68C87B19"/>
    <w:rsid w:val="695D2A85"/>
    <w:rsid w:val="69E642A0"/>
    <w:rsid w:val="6CA54035"/>
    <w:rsid w:val="6DA97816"/>
    <w:rsid w:val="70C525FF"/>
    <w:rsid w:val="71C50381"/>
    <w:rsid w:val="71FA32E4"/>
    <w:rsid w:val="72CC5BD6"/>
    <w:rsid w:val="73102258"/>
    <w:rsid w:val="735A4762"/>
    <w:rsid w:val="743D7F0E"/>
    <w:rsid w:val="74A35255"/>
    <w:rsid w:val="76DB4266"/>
    <w:rsid w:val="772A140E"/>
    <w:rsid w:val="77A34190"/>
    <w:rsid w:val="77FF289B"/>
    <w:rsid w:val="782176E7"/>
    <w:rsid w:val="79AD7F1B"/>
    <w:rsid w:val="7AC81DA8"/>
    <w:rsid w:val="7B7F26C2"/>
    <w:rsid w:val="7C7D35B6"/>
    <w:rsid w:val="7D02602A"/>
    <w:rsid w:val="7D5A3C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4"/>
    <w:next w:val="5"/>
    <w:unhideWhenUsed/>
    <w:qFormat/>
    <w:uiPriority w:val="9"/>
    <w:pPr>
      <w:adjustRightInd w:val="0"/>
      <w:jc w:val="center"/>
      <w:textAlignment w:val="baseline"/>
      <w:outlineLvl w:val="1"/>
    </w:pPr>
    <w:rPr>
      <w:bCs/>
      <w:kern w:val="0"/>
      <w:sz w:val="24"/>
      <w:szCs w:val="20"/>
    </w:rPr>
  </w:style>
  <w:style w:type="paragraph" w:styleId="4">
    <w:name w:val="heading 3"/>
    <w:basedOn w:val="5"/>
    <w:next w:val="1"/>
    <w:unhideWhenUsed/>
    <w:qFormat/>
    <w:uiPriority w:val="9"/>
    <w:pPr>
      <w:spacing w:before="260" w:after="260" w:line="240" w:lineRule="auto"/>
      <w:outlineLvl w:val="2"/>
    </w:pPr>
    <w:rPr>
      <w:rFonts w:ascii="宋体" w:hAnsi="宋体" w:eastAsia="宋体"/>
      <w:bCs w:val="0"/>
      <w:szCs w:val="32"/>
    </w:rPr>
  </w:style>
  <w:style w:type="paragraph" w:styleId="5">
    <w:name w:val="heading 4"/>
    <w:basedOn w:val="1"/>
    <w:next w:val="1"/>
    <w:unhideWhenUsed/>
    <w:qFormat/>
    <w:uiPriority w:val="9"/>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kern w:val="0"/>
      <w:sz w:val="20"/>
      <w:szCs w:val="21"/>
    </w:rPr>
  </w:style>
  <w:style w:type="paragraph" w:styleId="6">
    <w:name w:val="Normal Indent"/>
    <w:basedOn w:val="1"/>
    <w:unhideWhenUsed/>
    <w:qFormat/>
    <w:uiPriority w:val="99"/>
    <w:pPr>
      <w:ind w:firstLine="420" w:firstLineChars="200"/>
    </w:pPr>
  </w:style>
  <w:style w:type="paragraph" w:styleId="7">
    <w:name w:val="annotation text"/>
    <w:basedOn w:val="1"/>
    <w:link w:val="22"/>
    <w:unhideWhenUsed/>
    <w:qFormat/>
    <w:uiPriority w:val="99"/>
    <w:pPr>
      <w:jc w:val="left"/>
    </w:pPr>
  </w:style>
  <w:style w:type="paragraph" w:styleId="8">
    <w:name w:val="Date"/>
    <w:basedOn w:val="1"/>
    <w:next w:val="1"/>
    <w:link w:val="17"/>
    <w:qFormat/>
    <w:uiPriority w:val="0"/>
    <w:pPr>
      <w:ind w:left="100" w:leftChars="2500"/>
    </w:pPr>
  </w:style>
  <w:style w:type="paragraph" w:styleId="9">
    <w:name w:val="footer"/>
    <w:basedOn w:val="1"/>
    <w:link w:val="2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subject"/>
    <w:basedOn w:val="7"/>
    <w:next w:val="7"/>
    <w:link w:val="23"/>
    <w:qFormat/>
    <w:uiPriority w:val="0"/>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0"/>
    <w:rPr>
      <w:color w:val="0000FF"/>
      <w:u w:val="single"/>
    </w:rPr>
  </w:style>
  <w:style w:type="character" w:styleId="16">
    <w:name w:val="annotation reference"/>
    <w:basedOn w:val="14"/>
    <w:qFormat/>
    <w:uiPriority w:val="0"/>
    <w:rPr>
      <w:sz w:val="21"/>
      <w:szCs w:val="21"/>
    </w:rPr>
  </w:style>
  <w:style w:type="character" w:customStyle="1" w:styleId="17">
    <w:name w:val="日期 字符"/>
    <w:basedOn w:val="14"/>
    <w:link w:val="8"/>
    <w:qFormat/>
    <w:uiPriority w:val="0"/>
    <w:rPr>
      <w:kern w:val="2"/>
      <w:sz w:val="21"/>
      <w:szCs w:val="24"/>
    </w:rPr>
  </w:style>
  <w:style w:type="paragraph" w:styleId="18">
    <w:name w:val="List Paragraph"/>
    <w:basedOn w:val="1"/>
    <w:qFormat/>
    <w:uiPriority w:val="99"/>
    <w:pPr>
      <w:ind w:firstLine="420" w:firstLineChars="200"/>
    </w:pPr>
  </w:style>
  <w:style w:type="character" w:customStyle="1" w:styleId="19">
    <w:name w:val="Unresolved Mention"/>
    <w:basedOn w:val="14"/>
    <w:semiHidden/>
    <w:unhideWhenUsed/>
    <w:qFormat/>
    <w:uiPriority w:val="99"/>
    <w:rPr>
      <w:color w:val="605E5C"/>
      <w:shd w:val="clear" w:color="auto" w:fill="E1DFDD"/>
    </w:rPr>
  </w:style>
  <w:style w:type="paragraph" w:customStyle="1" w:styleId="20">
    <w:name w:val="标题1"/>
    <w:basedOn w:val="1"/>
    <w:link w:val="21"/>
    <w:qFormat/>
    <w:uiPriority w:val="0"/>
    <w:pPr>
      <w:spacing w:line="600" w:lineRule="exact"/>
      <w:ind w:firstLine="640" w:firstLineChars="200"/>
    </w:pPr>
    <w:rPr>
      <w:rFonts w:ascii="黑体" w:hAnsi="黑体" w:eastAsia="黑体" w:cs="仿宋"/>
      <w:bCs/>
      <w:sz w:val="32"/>
      <w:szCs w:val="32"/>
    </w:rPr>
  </w:style>
  <w:style w:type="character" w:customStyle="1" w:styleId="21">
    <w:name w:val="标题1 字符"/>
    <w:basedOn w:val="14"/>
    <w:link w:val="20"/>
    <w:qFormat/>
    <w:uiPriority w:val="0"/>
    <w:rPr>
      <w:rFonts w:ascii="黑体" w:hAnsi="黑体" w:eastAsia="黑体" w:cs="仿宋"/>
      <w:bCs/>
      <w:kern w:val="2"/>
      <w:sz w:val="32"/>
      <w:szCs w:val="32"/>
    </w:rPr>
  </w:style>
  <w:style w:type="character" w:customStyle="1" w:styleId="22">
    <w:name w:val="批注文字 字符"/>
    <w:basedOn w:val="14"/>
    <w:link w:val="7"/>
    <w:qFormat/>
    <w:uiPriority w:val="99"/>
    <w:rPr>
      <w:kern w:val="2"/>
      <w:sz w:val="21"/>
      <w:szCs w:val="24"/>
    </w:rPr>
  </w:style>
  <w:style w:type="character" w:customStyle="1" w:styleId="23">
    <w:name w:val="批注主题 字符"/>
    <w:basedOn w:val="22"/>
    <w:link w:val="11"/>
    <w:qFormat/>
    <w:uiPriority w:val="0"/>
    <w:rPr>
      <w:b/>
      <w:bCs/>
      <w:kern w:val="2"/>
      <w:sz w:val="21"/>
      <w:szCs w:val="24"/>
    </w:rPr>
  </w:style>
  <w:style w:type="character" w:customStyle="1" w:styleId="24">
    <w:name w:val="页脚 字符"/>
    <w:basedOn w:val="14"/>
    <w:link w:val="9"/>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4E63-28CA-4304-920B-5225C1520F25}">
  <ds:schemaRefs/>
</ds:datastoreItem>
</file>

<file path=docProps/app.xml><?xml version="1.0" encoding="utf-8"?>
<Properties xmlns="http://schemas.openxmlformats.org/officeDocument/2006/extended-properties" xmlns:vt="http://schemas.openxmlformats.org/officeDocument/2006/docPropsVTypes">
  <Template>Normal</Template>
  <Pages>18</Pages>
  <Words>7796</Words>
  <Characters>8151</Characters>
  <Lines>66</Lines>
  <Paragraphs>18</Paragraphs>
  <TotalTime>139</TotalTime>
  <ScaleCrop>false</ScaleCrop>
  <LinksUpToDate>false</LinksUpToDate>
  <CharactersWithSpaces>8429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2022-10-09T04:37:00Z</dcterms:created>
  <dc:creator>WPS_1601888619</dc:creator>
  <cp:lastModifiedBy>WPS_1601888619</cp:lastModifiedBy>
  <cp:lastPrinted>2022-10-31T01:17:00Z</cp:lastPrinted>
  <dcterms:modified xsi:type="dcterms:W3CDTF">2022-10-31T02:43:42Z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9B47BA8CCB2D4861B90808BAB3955058</vt:lpwstr>
  </property>
</Properties>
</file>