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hint="eastAsia" w:ascii="宋体" w:hAnsi="宋体" w:cs="宋体"/>
          <w:b/>
          <w:bCs/>
          <w:sz w:val="44"/>
          <w:szCs w:val="44"/>
          <w:lang w:eastAsia="zh-CN"/>
        </w:rPr>
      </w:pPr>
      <w:r>
        <w:rPr>
          <w:rFonts w:hint="eastAsia" w:ascii="宋体" w:hAnsi="宋体" w:cs="宋体"/>
          <w:b/>
          <w:bCs/>
          <w:sz w:val="44"/>
          <w:szCs w:val="44"/>
          <w:lang w:eastAsia="zh-CN"/>
        </w:rPr>
        <w:t>龙岗区食品安全基层协同治理系统二期</w:t>
      </w:r>
    </w:p>
    <w:p>
      <w:pPr>
        <w:spacing w:line="440" w:lineRule="exact"/>
        <w:jc w:val="center"/>
        <w:outlineLvl w:val="0"/>
        <w:rPr>
          <w:rFonts w:hint="eastAsia" w:ascii="宋体" w:hAnsi="宋体" w:eastAsia="宋体" w:cs="宋体"/>
          <w:b/>
          <w:bCs/>
          <w:sz w:val="44"/>
          <w:szCs w:val="44"/>
          <w:lang w:eastAsia="zh-CN"/>
        </w:rPr>
      </w:pPr>
      <w:r>
        <w:rPr>
          <w:rFonts w:hint="eastAsia" w:ascii="宋体" w:hAnsi="宋体" w:cs="宋体"/>
          <w:b/>
          <w:bCs/>
          <w:sz w:val="44"/>
          <w:szCs w:val="44"/>
          <w:lang w:eastAsia="zh-CN"/>
        </w:rPr>
        <w:t>项目</w:t>
      </w:r>
      <w:r>
        <w:rPr>
          <w:rFonts w:hint="eastAsia" w:ascii="宋体" w:hAnsi="宋体" w:cs="宋体"/>
          <w:b/>
          <w:bCs/>
          <w:sz w:val="44"/>
          <w:szCs w:val="44"/>
        </w:rPr>
        <w:t>需求方案</w:t>
      </w:r>
      <w:r>
        <w:rPr>
          <w:rFonts w:hint="eastAsia" w:ascii="宋体" w:hAnsi="宋体" w:cs="宋体"/>
          <w:b/>
          <w:bCs/>
          <w:sz w:val="44"/>
          <w:szCs w:val="44"/>
          <w:lang w:eastAsia="zh-CN"/>
        </w:rPr>
        <w:t>（征求意见稿）</w:t>
      </w:r>
    </w:p>
    <w:p>
      <w:pPr>
        <w:spacing w:line="440" w:lineRule="exact"/>
        <w:jc w:val="center"/>
        <w:rPr>
          <w:rFonts w:ascii="宋体" w:hAnsi="宋体" w:cs="宋体"/>
          <w:b/>
          <w:bCs/>
          <w:sz w:val="44"/>
          <w:szCs w:val="44"/>
        </w:rPr>
      </w:pPr>
    </w:p>
    <w:p>
      <w:pPr>
        <w:numPr>
          <w:ilvl w:val="0"/>
          <w:numId w:val="1"/>
        </w:numPr>
        <w:spacing w:line="440" w:lineRule="exact"/>
        <w:outlineLvl w:val="0"/>
        <w:rPr>
          <w:rFonts w:ascii="宋体" w:hAnsi="宋体" w:cs="宋体"/>
          <w:sz w:val="28"/>
          <w:szCs w:val="28"/>
        </w:rPr>
      </w:pPr>
      <w:r>
        <w:rPr>
          <w:rFonts w:hint="eastAsia" w:ascii="宋体" w:hAnsi="宋体" w:cs="宋体"/>
          <w:sz w:val="28"/>
          <w:szCs w:val="28"/>
        </w:rPr>
        <w:t>项目信息</w:t>
      </w:r>
    </w:p>
    <w:p>
      <w:pPr>
        <w:numPr>
          <w:ilvl w:val="0"/>
          <w:numId w:val="2"/>
        </w:numPr>
        <w:spacing w:line="440" w:lineRule="exact"/>
        <w:ind w:left="828" w:hanging="198"/>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食品安全基层协同治理系统二期项目</w:t>
      </w:r>
      <w:r>
        <w:rPr>
          <w:rFonts w:ascii="宋体" w:hAnsi="宋体" w:cs="宋体"/>
          <w:sz w:val="24"/>
          <w:u w:val="single"/>
        </w:rPr>
        <w:t xml:space="preserve"> </w:t>
      </w:r>
    </w:p>
    <w:p>
      <w:pPr>
        <w:numPr>
          <w:ilvl w:val="0"/>
          <w:numId w:val="2"/>
        </w:numPr>
        <w:spacing w:line="440" w:lineRule="exact"/>
        <w:ind w:left="828" w:hanging="198"/>
        <w:rPr>
          <w:rFonts w:ascii="宋体" w:hAnsi="宋体" w:cs="宋体"/>
          <w:sz w:val="24"/>
        </w:rPr>
      </w:pPr>
      <w:r>
        <w:rPr>
          <w:rFonts w:hint="eastAsia" w:ascii="宋体" w:hAnsi="宋体" w:cs="宋体"/>
          <w:sz w:val="24"/>
        </w:rPr>
        <w:t>采购规模：</w:t>
      </w:r>
      <w:r>
        <w:rPr>
          <w:rFonts w:hint="eastAsia" w:ascii="宋体" w:hAnsi="宋体" w:cs="宋体"/>
          <w:sz w:val="24"/>
          <w:u w:val="single"/>
        </w:rPr>
        <w:t xml:space="preserve"> </w:t>
      </w:r>
      <w:r>
        <w:rPr>
          <w:rFonts w:ascii="宋体" w:hAnsi="宋体" w:cs="宋体"/>
          <w:sz w:val="24"/>
          <w:u w:val="single"/>
        </w:rPr>
        <w:t>1,</w:t>
      </w:r>
      <w:r>
        <w:rPr>
          <w:rFonts w:hint="eastAsia" w:ascii="宋体" w:hAnsi="宋体" w:cs="宋体"/>
          <w:sz w:val="24"/>
          <w:u w:val="single"/>
          <w:lang w:val="en-US" w:eastAsia="zh-CN"/>
        </w:rPr>
        <w:t>189</w:t>
      </w:r>
      <w:r>
        <w:rPr>
          <w:rFonts w:ascii="宋体" w:hAnsi="宋体" w:cs="宋体"/>
          <w:sz w:val="24"/>
          <w:u w:val="single"/>
        </w:rPr>
        <w:t>,</w:t>
      </w:r>
      <w:r>
        <w:rPr>
          <w:rFonts w:hint="eastAsia" w:ascii="宋体" w:hAnsi="宋体" w:cs="宋体"/>
          <w:sz w:val="24"/>
          <w:u w:val="single"/>
          <w:lang w:val="en-US" w:eastAsia="zh-CN"/>
        </w:rPr>
        <w:t>8</w:t>
      </w:r>
      <w:r>
        <w:rPr>
          <w:rFonts w:ascii="宋体" w:hAnsi="宋体" w:cs="宋体"/>
          <w:sz w:val="24"/>
          <w:u w:val="single"/>
        </w:rPr>
        <w:t>00</w:t>
      </w:r>
      <w:r>
        <w:rPr>
          <w:rFonts w:hint="eastAsia" w:ascii="宋体" w:hAnsi="宋体" w:cs="宋体"/>
          <w:sz w:val="24"/>
          <w:u w:val="single"/>
        </w:rPr>
        <w:t xml:space="preserve">元 </w:t>
      </w:r>
    </w:p>
    <w:p>
      <w:pPr>
        <w:numPr>
          <w:ilvl w:val="0"/>
          <w:numId w:val="2"/>
        </w:numPr>
        <w:spacing w:line="440" w:lineRule="exact"/>
        <w:ind w:hanging="840"/>
        <w:rPr>
          <w:rFonts w:ascii="宋体" w:hAnsi="宋体" w:cs="宋体"/>
          <w:sz w:val="24"/>
        </w:rPr>
      </w:pPr>
      <w:r>
        <w:rPr>
          <w:rFonts w:hint="eastAsia" w:ascii="宋体" w:hAnsi="宋体" w:cs="宋体"/>
          <w:sz w:val="24"/>
        </w:rPr>
        <w:t>项目概况：</w:t>
      </w:r>
    </w:p>
    <w:p>
      <w:pPr>
        <w:spacing w:line="440" w:lineRule="exact"/>
        <w:ind w:firstLine="491" w:firstLineChars="205"/>
        <w:rPr>
          <w:rFonts w:ascii="宋体" w:hAnsi="宋体" w:cs="宋体"/>
          <w:sz w:val="24"/>
        </w:rPr>
      </w:pPr>
      <w:r>
        <w:rPr>
          <w:rFonts w:hint="eastAsia" w:ascii="宋体" w:hAnsi="宋体" w:cs="宋体"/>
          <w:sz w:val="24"/>
        </w:rPr>
        <w:t>为了打通市场监管最后一公里，实现食品安全社会共治，龙岗区</w:t>
      </w:r>
      <w:bookmarkStart w:id="5" w:name="_GoBack"/>
      <w:bookmarkEnd w:id="5"/>
      <w:r>
        <w:rPr>
          <w:rFonts w:hint="eastAsia" w:ascii="宋体" w:hAnsi="宋体" w:cs="宋体"/>
          <w:sz w:val="24"/>
        </w:rPr>
        <w:t>于2021年10月启动“龙岗基层食品安全协同治理系统一期”项目，并于2021年12月完成项目终验。该项目分别为街道监管所、第三方巡查和企业用户开发了PC端及手机APP应用端，实现了餐饮单位的监管与协查、企业自查等功能，并在龙岗区龙岗街道进行了试点，取得了良好的应用效果。即通过一期龙岗街道试点，完成对接了核酸检测信息、食品安全快检信息、食品经营许可证等数据端口，实现了“一机在手，信息全有”的目标，从而建立“六+六”治理机制（即“自查、巡查、整改、处置、培训、检测六大闭环监管”+“市、区、街道、社区、企业、第三方六方无缝衔接”），提升了辖区居民的幸福感、安全感。</w:t>
      </w:r>
    </w:p>
    <w:p>
      <w:pPr>
        <w:spacing w:line="440" w:lineRule="exact"/>
        <w:ind w:firstLine="491" w:firstLineChars="205"/>
        <w:rPr>
          <w:rFonts w:hint="default" w:ascii="宋体" w:hAnsi="宋体" w:eastAsia="宋体" w:cs="宋体"/>
          <w:sz w:val="24"/>
          <w:highlight w:val="yellow"/>
          <w:lang w:val="en-US" w:eastAsia="zh-CN"/>
        </w:rPr>
      </w:pPr>
      <w:r>
        <w:rPr>
          <w:rFonts w:hint="eastAsia" w:ascii="宋体" w:hAnsi="宋体" w:cs="宋体"/>
          <w:sz w:val="24"/>
        </w:rPr>
        <w:t>由于一期建设内容存在业务覆盖不全、区域单一等问题，为了在更大范围实现基层食品安全协同共治，现将该系统在全区11个街道推广使用，同时根据业务管理需要，对系统原有功能进行补充和完善、新增对零售药店和食品生产企业的共治管理。</w:t>
      </w:r>
    </w:p>
    <w:p>
      <w:pPr>
        <w:numPr>
          <w:ilvl w:val="0"/>
          <w:numId w:val="1"/>
        </w:numPr>
        <w:spacing w:line="440" w:lineRule="exact"/>
        <w:outlineLvl w:val="0"/>
        <w:rPr>
          <w:rFonts w:ascii="宋体" w:hAnsi="宋体" w:cs="宋体"/>
          <w:sz w:val="28"/>
          <w:szCs w:val="28"/>
        </w:rPr>
      </w:pPr>
      <w:r>
        <w:rPr>
          <w:rFonts w:hint="eastAsia" w:ascii="宋体" w:hAnsi="宋体" w:cs="宋体"/>
          <w:sz w:val="28"/>
          <w:szCs w:val="28"/>
        </w:rPr>
        <w:t>投标人资格要求</w:t>
      </w:r>
    </w:p>
    <w:p>
      <w:pPr>
        <w:pStyle w:val="5"/>
        <w:numPr>
          <w:ilvl w:val="0"/>
          <w:numId w:val="3"/>
        </w:numPr>
        <w:spacing w:before="78" w:beforeLines="25" w:after="78" w:afterLines="25" w:line="440" w:lineRule="exact"/>
        <w:rPr>
          <w:rFonts w:ascii="宋体" w:hAnsi="宋体" w:cs="宋体"/>
          <w:sz w:val="24"/>
          <w:szCs w:val="24"/>
          <w:u w:val="single"/>
        </w:rPr>
      </w:pPr>
      <w:r>
        <w:rPr>
          <w:rFonts w:hint="eastAsia" w:ascii="宋体" w:hAnsi="宋体" w:cs="宋体"/>
          <w:sz w:val="24"/>
          <w:szCs w:val="24"/>
          <w:u w:val="single"/>
        </w:rPr>
        <w:t>具有独立法人资格或具有独立承担民事责任的能力的其它组织（提供营业执照或事业单位法人证等法人证明扫描件，原件备查）。</w:t>
      </w:r>
    </w:p>
    <w:p>
      <w:pPr>
        <w:pStyle w:val="5"/>
        <w:numPr>
          <w:ilvl w:val="0"/>
          <w:numId w:val="3"/>
        </w:numPr>
        <w:spacing w:before="78" w:beforeLines="25" w:after="78" w:afterLines="25" w:line="440" w:lineRule="exact"/>
        <w:rPr>
          <w:rFonts w:ascii="宋体" w:hAnsi="宋体" w:cs="宋体"/>
          <w:sz w:val="24"/>
          <w:szCs w:val="24"/>
          <w:u w:val="single"/>
        </w:rPr>
      </w:pPr>
      <w:r>
        <w:rPr>
          <w:rFonts w:hint="eastAsia" w:ascii="宋体" w:hAnsi="宋体" w:cs="宋体"/>
          <w:sz w:val="24"/>
          <w:szCs w:val="24"/>
          <w:u w:val="single"/>
        </w:rPr>
        <w:t>本项目不接受联合体投标。</w:t>
      </w:r>
    </w:p>
    <w:p>
      <w:pPr>
        <w:pStyle w:val="5"/>
        <w:numPr>
          <w:ilvl w:val="0"/>
          <w:numId w:val="3"/>
        </w:numPr>
        <w:spacing w:before="78" w:beforeLines="25" w:after="78" w:afterLines="25" w:line="440" w:lineRule="exact"/>
        <w:rPr>
          <w:rFonts w:ascii="宋体" w:hAnsi="宋体" w:cs="宋体"/>
          <w:sz w:val="24"/>
          <w:szCs w:val="24"/>
          <w:u w:val="single"/>
        </w:rPr>
      </w:pPr>
      <w:r>
        <w:rPr>
          <w:rFonts w:hint="eastAsia" w:ascii="宋体" w:hAnsi="宋体" w:cs="宋体"/>
          <w:sz w:val="24"/>
          <w:szCs w:val="24"/>
          <w:u w:val="single"/>
        </w:rPr>
        <w:t>参与本项目投标前三年内，在经营活动中没有重大违法记录；参与本项目政府采购活动时不存在被有关部门禁止参与政府采购活动且在有效期内的情况；具备《中华人民共和国政府采购法》第二十二条第一款的条件；参与政府采购项目投标的供应商未被列入失信被执行人、重大税收违法案件当事人名单、政府采购严重违法失信行为记录名单。（以上内容由供应商在《政府采购投标及履约承诺函》中作出声明）</w:t>
      </w:r>
    </w:p>
    <w:p>
      <w:pPr>
        <w:pStyle w:val="5"/>
        <w:spacing w:before="78" w:beforeLines="25" w:after="78" w:afterLines="25" w:line="440" w:lineRule="exact"/>
        <w:ind w:firstLine="448" w:firstLineChars="187"/>
        <w:rPr>
          <w:rFonts w:ascii="宋体" w:hAnsi="宋体" w:cs="宋体"/>
          <w:sz w:val="28"/>
          <w:szCs w:val="28"/>
        </w:rPr>
      </w:pPr>
      <w:r>
        <w:rPr>
          <w:rFonts w:hint="eastAsia" w:ascii="宋体" w:hAnsi="宋体" w:cs="宋体"/>
          <w:sz w:val="24"/>
          <w:szCs w:val="24"/>
          <w:u w:val="single"/>
        </w:rPr>
        <w:t>注：“信用中国”、“中国政府采购网”以及“深圳市政府采购监管网”为供应商信用信息的查询渠道，相关信息以中标通知书发出前的查询结果为准。</w:t>
      </w:r>
    </w:p>
    <w:p>
      <w:pPr>
        <w:numPr>
          <w:ilvl w:val="0"/>
          <w:numId w:val="1"/>
        </w:numPr>
        <w:spacing w:line="440" w:lineRule="exact"/>
        <w:outlineLvl w:val="0"/>
        <w:rPr>
          <w:rFonts w:ascii="宋体" w:hAnsi="宋体" w:cs="宋体"/>
          <w:sz w:val="28"/>
          <w:szCs w:val="28"/>
        </w:rPr>
      </w:pPr>
      <w:r>
        <w:rPr>
          <w:rFonts w:hint="eastAsia" w:ascii="宋体" w:hAnsi="宋体" w:cs="宋体"/>
          <w:sz w:val="28"/>
          <w:szCs w:val="28"/>
        </w:rPr>
        <w:t>项目需求</w:t>
      </w:r>
    </w:p>
    <w:p>
      <w:pPr>
        <w:pStyle w:val="5"/>
        <w:spacing w:before="78" w:beforeLines="25" w:after="78" w:afterLines="25" w:line="440" w:lineRule="exact"/>
        <w:ind w:firstLine="0"/>
        <w:outlineLvl w:val="1"/>
        <w:rPr>
          <w:rFonts w:ascii="宋体" w:hAnsi="宋体" w:cs="宋体"/>
          <w:color w:val="auto"/>
          <w:sz w:val="24"/>
          <w:szCs w:val="24"/>
        </w:rPr>
      </w:pPr>
      <w:r>
        <w:rPr>
          <w:rFonts w:ascii="宋体" w:hAnsi="宋体" w:cs="宋体"/>
          <w:color w:val="auto"/>
          <w:sz w:val="24"/>
          <w:szCs w:val="24"/>
        </w:rPr>
        <w:t>（一）</w:t>
      </w:r>
      <w:r>
        <w:rPr>
          <w:rFonts w:hint="eastAsia" w:ascii="宋体" w:hAnsi="宋体" w:cs="宋体"/>
          <w:color w:val="auto"/>
          <w:sz w:val="24"/>
          <w:szCs w:val="24"/>
        </w:rPr>
        <w:t>项目技术要求</w:t>
      </w:r>
    </w:p>
    <w:p>
      <w:pPr>
        <w:pStyle w:val="5"/>
        <w:spacing w:before="78" w:beforeLines="25" w:after="78" w:afterLines="25" w:line="440" w:lineRule="exact"/>
        <w:ind w:firstLine="482" w:firstLineChars="200"/>
        <w:outlineLvl w:val="2"/>
        <w:rPr>
          <w:rFonts w:ascii="宋体" w:hAnsi="宋体" w:cs="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建设目标</w:t>
      </w:r>
    </w:p>
    <w:p>
      <w:pPr>
        <w:pStyle w:val="7"/>
        <w:tabs>
          <w:tab w:val="left" w:pos="1095"/>
        </w:tabs>
        <w:kinsoku w:val="0"/>
        <w:overflowPunct w:val="0"/>
        <w:spacing w:after="0" w:line="360" w:lineRule="auto"/>
        <w:ind w:firstLine="480" w:firstLineChars="200"/>
        <w:rPr>
          <w:rFonts w:ascii="宋体" w:hAnsi="宋体"/>
          <w:color w:val="auto"/>
          <w:sz w:val="24"/>
        </w:rPr>
      </w:pPr>
      <w:r>
        <w:rPr>
          <w:rFonts w:hint="eastAsia" w:ascii="宋体" w:hAnsi="宋体"/>
          <w:color w:val="auto"/>
          <w:sz w:val="24"/>
        </w:rPr>
        <w:t>为完善食品安全社会协同治理体系，打造共建共治共享的食品安全治理新格局，在协同治理项目一期的基础上，开展二期项目建设，主要通过对一期项目内容的全面升级与改造，实现龙岗区全区11个街道的餐饮企业、农贸农批市场、食品生产企业及零售药店的全面监督与管理，充分调动和发挥社会第三方组织与团体的监督与巡查力量，打通食品安全“最后一公里”，逐步建立起食品药品“政府监管、社会监督、企业自律”的协同共治局面，从而保障龙岗区居民的饮食和用药安全。</w:t>
      </w:r>
    </w:p>
    <w:p>
      <w:pPr>
        <w:pStyle w:val="5"/>
        <w:spacing w:before="78" w:beforeLines="25" w:after="78" w:afterLines="25" w:line="440" w:lineRule="exact"/>
        <w:ind w:firstLine="482" w:firstLineChars="200"/>
        <w:outlineLvl w:val="2"/>
        <w:rPr>
          <w:rFonts w:ascii="宋体" w:hAnsi="宋体" w:cs="宋体"/>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建设内容</w:t>
      </w:r>
    </w:p>
    <w:p>
      <w:pPr>
        <w:pStyle w:val="7"/>
        <w:tabs>
          <w:tab w:val="left" w:pos="1095"/>
        </w:tabs>
        <w:kinsoku w:val="0"/>
        <w:overflowPunct w:val="0"/>
        <w:spacing w:after="0" w:line="360" w:lineRule="auto"/>
        <w:ind w:firstLine="480" w:firstLineChars="200"/>
        <w:rPr>
          <w:rFonts w:ascii="宋体" w:hAnsi="宋体"/>
          <w:color w:val="auto"/>
          <w:sz w:val="24"/>
        </w:rPr>
      </w:pPr>
      <w:r>
        <w:rPr>
          <w:rFonts w:hint="eastAsia" w:ascii="宋体" w:hAnsi="宋体"/>
          <w:color w:val="auto"/>
          <w:sz w:val="24"/>
        </w:rPr>
        <w:t>本项目主要是在一</w:t>
      </w:r>
      <w:r>
        <w:rPr>
          <w:rFonts w:ascii="宋体" w:hAnsi="宋体"/>
          <w:color w:val="auto"/>
          <w:sz w:val="24"/>
        </w:rPr>
        <w:t>期</w:t>
      </w:r>
      <w:r>
        <w:rPr>
          <w:rFonts w:hint="eastAsia" w:ascii="宋体" w:hAnsi="宋体"/>
          <w:color w:val="auto"/>
          <w:sz w:val="24"/>
        </w:rPr>
        <w:t>已建内容的基础上进行完善和扩充，主要包括以下几</w:t>
      </w:r>
      <w:r>
        <w:rPr>
          <w:rFonts w:ascii="宋体" w:hAnsi="宋体"/>
          <w:color w:val="auto"/>
          <w:sz w:val="24"/>
        </w:rPr>
        <w:t>部</w:t>
      </w:r>
      <w:r>
        <w:rPr>
          <w:rFonts w:hint="eastAsia" w:ascii="宋体" w:hAnsi="宋体"/>
          <w:color w:val="auto"/>
          <w:sz w:val="24"/>
        </w:rPr>
        <w:t>分内容：</w:t>
      </w:r>
    </w:p>
    <w:p>
      <w:pPr>
        <w:pStyle w:val="7"/>
        <w:numPr>
          <w:ilvl w:val="0"/>
          <w:numId w:val="4"/>
        </w:numPr>
        <w:tabs>
          <w:tab w:val="left" w:pos="1095"/>
        </w:tabs>
        <w:kinsoku w:val="0"/>
        <w:overflowPunct w:val="0"/>
        <w:spacing w:after="0" w:line="360" w:lineRule="auto"/>
        <w:rPr>
          <w:rFonts w:ascii="宋体" w:hAnsi="宋体"/>
          <w:color w:val="auto"/>
          <w:sz w:val="24"/>
        </w:rPr>
      </w:pPr>
      <w:r>
        <w:rPr>
          <w:rFonts w:hint="eastAsia" w:ascii="宋体" w:hAnsi="宋体"/>
          <w:color w:val="auto"/>
          <w:sz w:val="24"/>
        </w:rPr>
        <w:t>对现有应用系统的升级改造，实现由现有对一个街道的应用和数据支持升级为可以支持11个街道的相关应用和数据存储要求；</w:t>
      </w:r>
    </w:p>
    <w:p>
      <w:pPr>
        <w:pStyle w:val="7"/>
        <w:numPr>
          <w:ilvl w:val="0"/>
          <w:numId w:val="4"/>
        </w:numPr>
        <w:tabs>
          <w:tab w:val="left" w:pos="1095"/>
        </w:tabs>
        <w:kinsoku w:val="0"/>
        <w:overflowPunct w:val="0"/>
        <w:spacing w:after="0" w:line="360" w:lineRule="auto"/>
        <w:rPr>
          <w:rFonts w:ascii="宋体" w:hAnsi="宋体"/>
          <w:color w:val="auto"/>
          <w:sz w:val="24"/>
        </w:rPr>
      </w:pPr>
      <w:r>
        <w:rPr>
          <w:rFonts w:hint="eastAsia" w:ascii="宋体" w:hAnsi="宋体"/>
          <w:color w:val="auto"/>
          <w:sz w:val="24"/>
        </w:rPr>
        <w:t>建设针对食品生产企业和零售药店的监督与监管业务；</w:t>
      </w:r>
    </w:p>
    <w:p>
      <w:pPr>
        <w:pStyle w:val="7"/>
        <w:numPr>
          <w:ilvl w:val="0"/>
          <w:numId w:val="4"/>
        </w:numPr>
        <w:tabs>
          <w:tab w:val="left" w:pos="1095"/>
        </w:tabs>
        <w:kinsoku w:val="0"/>
        <w:overflowPunct w:val="0"/>
        <w:spacing w:after="0" w:line="360" w:lineRule="auto"/>
        <w:rPr>
          <w:rFonts w:ascii="宋体" w:hAnsi="宋体"/>
          <w:color w:val="auto"/>
          <w:sz w:val="24"/>
        </w:rPr>
      </w:pPr>
      <w:r>
        <w:rPr>
          <w:rFonts w:hint="eastAsia" w:ascii="宋体" w:hAnsi="宋体"/>
          <w:color w:val="auto"/>
          <w:sz w:val="24"/>
        </w:rPr>
        <w:t>数据库系统升级改造，一方面实现数据结构的升级，扩容街道信息，另一方面完成新增街道及相关人员的信息接入以及实现与“深I企”的数据对接；</w:t>
      </w:r>
    </w:p>
    <w:p>
      <w:pPr>
        <w:pStyle w:val="7"/>
        <w:numPr>
          <w:ilvl w:val="0"/>
          <w:numId w:val="4"/>
        </w:numPr>
        <w:tabs>
          <w:tab w:val="left" w:pos="1095"/>
        </w:tabs>
        <w:kinsoku w:val="0"/>
        <w:overflowPunct w:val="0"/>
        <w:spacing w:after="0" w:line="360" w:lineRule="auto"/>
        <w:rPr>
          <w:rFonts w:ascii="宋体" w:hAnsi="宋体"/>
          <w:color w:val="auto"/>
          <w:sz w:val="24"/>
        </w:rPr>
      </w:pPr>
      <w:r>
        <w:rPr>
          <w:rFonts w:hint="eastAsia" w:ascii="宋体" w:hAnsi="宋体"/>
          <w:color w:val="auto"/>
          <w:sz w:val="24"/>
        </w:rPr>
        <w:t>可视化大屏开发，建设龙岗区全区可视化大屏以及支持查看各监管所数据可视化大屏版面；</w:t>
      </w:r>
    </w:p>
    <w:p>
      <w:pPr>
        <w:pStyle w:val="7"/>
        <w:numPr>
          <w:ilvl w:val="0"/>
          <w:numId w:val="4"/>
        </w:numPr>
        <w:tabs>
          <w:tab w:val="left" w:pos="1095"/>
        </w:tabs>
        <w:kinsoku w:val="0"/>
        <w:overflowPunct w:val="0"/>
        <w:spacing w:after="0" w:line="360" w:lineRule="auto"/>
        <w:rPr>
          <w:rFonts w:ascii="宋体" w:hAnsi="宋体"/>
          <w:color w:val="auto"/>
          <w:sz w:val="24"/>
        </w:rPr>
      </w:pPr>
      <w:r>
        <w:rPr>
          <w:rFonts w:hint="eastAsia" w:ascii="宋体" w:hAnsi="宋体"/>
          <w:color w:val="auto"/>
          <w:sz w:val="24"/>
        </w:rPr>
        <w:t>国产化适配及项目迁移，对数据库及服务器完成国产化应用适配，并完成项目由龙岗区到政务云的迁移工作。</w:t>
      </w:r>
    </w:p>
    <w:p>
      <w:pPr>
        <w:pStyle w:val="5"/>
        <w:spacing w:before="78" w:beforeLines="25" w:after="78" w:afterLines="25" w:line="440" w:lineRule="exact"/>
        <w:ind w:left="420" w:firstLine="0"/>
        <w:outlineLvl w:val="2"/>
        <w:rPr>
          <w:rFonts w:ascii="宋体" w:hAnsi="宋体" w:cs="宋体"/>
          <w:b/>
          <w:bCs/>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业务需求</w:t>
      </w:r>
    </w:p>
    <w:p>
      <w:pPr>
        <w:pStyle w:val="5"/>
        <w:spacing w:before="78" w:beforeLines="25" w:after="78" w:afterLines="25" w:line="440" w:lineRule="exact"/>
        <w:ind w:left="420"/>
        <w:rPr>
          <w:rFonts w:ascii="宋体" w:hAnsi="宋体" w:cs="宋体"/>
          <w:color w:val="auto"/>
          <w:sz w:val="24"/>
          <w:szCs w:val="24"/>
        </w:rPr>
      </w:pPr>
      <w:bookmarkStart w:id="0" w:name="_Toc77288310"/>
      <w:r>
        <w:rPr>
          <w:rFonts w:hint="eastAsia" w:ascii="宋体" w:hAnsi="宋体" w:cs="宋体"/>
          <w:color w:val="auto"/>
          <w:sz w:val="24"/>
          <w:szCs w:val="24"/>
        </w:rPr>
        <w:t>本项目一期工程完成了龙岗街道的餐饮企业和农贸市场基层协同治理任务，实现了六大闭环监管加六方无缝衔接的监管模式。而对于平湖、坂田、横岗、布吉、南湾、坪地、宝龙、吉华、龙城、园山10个街道尚未进行建设，因此，为了实现龙岗区全区的餐饮企业基层协同治理需要，本期工程需要在龙岗街道建设成果的基础上进行区域扩充，纳入剩余10个街道的相关监管业务。另外，参照一期工程餐饮企业的协同治理模式，本期工程还需实现龙岗区全区零售药店和食品生产企业的基层协同治理功能，健全和完善食品药品基层监管内容。</w:t>
      </w:r>
    </w:p>
    <w:p>
      <w:pPr>
        <w:pStyle w:val="7"/>
        <w:numPr>
          <w:ilvl w:val="0"/>
          <w:numId w:val="5"/>
        </w:numPr>
        <w:tabs>
          <w:tab w:val="left" w:pos="1095"/>
        </w:tabs>
        <w:spacing w:after="0" w:line="360" w:lineRule="auto"/>
        <w:ind w:left="902"/>
        <w:rPr>
          <w:rFonts w:ascii="宋体" w:hAnsi="宋体"/>
          <w:color w:val="auto"/>
          <w:sz w:val="24"/>
        </w:rPr>
      </w:pPr>
      <w:r>
        <w:rPr>
          <w:rFonts w:hint="eastAsia" w:ascii="宋体" w:hAnsi="宋体"/>
          <w:color w:val="auto"/>
          <w:sz w:val="24"/>
        </w:rPr>
        <w:t>对移动巡查端应用现有监督检查、数据管理、工作管理、统计分析、预警中心、监管动态及查询统计等已建功能进行升级改造，新增零售药店基本信息查询、预警中心、移动监督检查、任务分派与跟踪、整改复查、综合查询、统计分析、监管动态、通知消息等功能建设。</w:t>
      </w:r>
    </w:p>
    <w:p>
      <w:pPr>
        <w:pStyle w:val="7"/>
        <w:numPr>
          <w:ilvl w:val="0"/>
          <w:numId w:val="5"/>
        </w:numPr>
        <w:tabs>
          <w:tab w:val="left" w:pos="1095"/>
        </w:tabs>
        <w:spacing w:after="0" w:line="360" w:lineRule="auto"/>
        <w:ind w:left="902"/>
        <w:rPr>
          <w:rFonts w:ascii="宋体" w:hAnsi="宋体"/>
          <w:color w:val="auto"/>
          <w:sz w:val="24"/>
        </w:rPr>
      </w:pPr>
      <w:r>
        <w:rPr>
          <w:rFonts w:hint="eastAsia" w:ascii="宋体" w:hAnsi="宋体"/>
          <w:color w:val="auto"/>
          <w:sz w:val="24"/>
        </w:rPr>
        <w:t>对监管巡查管理端现有的监管对象管理、任务管理、工作管理、预警管理、综合查询及统计分析等功能进行升级改造，新增零售药店及食品生产企业监管对象管理（包括企业单位和人员）及上述功能模块的建设。</w:t>
      </w:r>
    </w:p>
    <w:p>
      <w:pPr>
        <w:pStyle w:val="7"/>
        <w:numPr>
          <w:ilvl w:val="0"/>
          <w:numId w:val="5"/>
        </w:numPr>
        <w:tabs>
          <w:tab w:val="left" w:pos="1095"/>
        </w:tabs>
        <w:spacing w:after="0" w:line="360" w:lineRule="auto"/>
        <w:ind w:left="902"/>
        <w:rPr>
          <w:rFonts w:ascii="宋体" w:hAnsi="宋体"/>
          <w:color w:val="auto"/>
          <w:sz w:val="24"/>
        </w:rPr>
      </w:pPr>
      <w:r>
        <w:rPr>
          <w:rFonts w:hint="eastAsia" w:ascii="宋体" w:hAnsi="宋体"/>
          <w:color w:val="auto"/>
          <w:sz w:val="24"/>
        </w:rPr>
        <w:t>对第三方巡查端现有餐企移动巡查、任务接收与执行、整改跟进、预警中心、餐企查询、通知消息、监管动态、商超和农贸市场及个人中心等功能模块进行升级改造，新增零售药店及食品生产企业的基本信息查询、预警中心、移动巡查、任务接收与执行、整改复查、查询统计、监管动态、通知消息及个人中心等功能模块。</w:t>
      </w:r>
    </w:p>
    <w:p>
      <w:pPr>
        <w:pStyle w:val="7"/>
        <w:numPr>
          <w:ilvl w:val="0"/>
          <w:numId w:val="5"/>
        </w:numPr>
        <w:tabs>
          <w:tab w:val="left" w:pos="1095"/>
        </w:tabs>
        <w:spacing w:after="0" w:line="360" w:lineRule="auto"/>
        <w:ind w:left="902"/>
        <w:rPr>
          <w:rFonts w:ascii="宋体" w:hAnsi="宋体"/>
          <w:color w:val="auto"/>
          <w:sz w:val="24"/>
        </w:rPr>
      </w:pPr>
      <w:r>
        <w:rPr>
          <w:rFonts w:hint="eastAsia" w:ascii="宋体" w:hAnsi="宋体"/>
          <w:color w:val="auto"/>
          <w:sz w:val="24"/>
        </w:rPr>
        <w:t>对第三方巡查管理端现有巡查管理、任务管理、整改跟进、预警中心、人员管理及商超和农贸市场等功能模块进行升级改造，新增零售药店和食品生产企业的基本信息管理、重点领域白名单管理以及上述功能模块的建设。</w:t>
      </w:r>
    </w:p>
    <w:p>
      <w:pPr>
        <w:pStyle w:val="7"/>
        <w:numPr>
          <w:ilvl w:val="0"/>
          <w:numId w:val="5"/>
        </w:numPr>
        <w:tabs>
          <w:tab w:val="left" w:pos="1095"/>
        </w:tabs>
        <w:spacing w:after="0" w:line="360" w:lineRule="auto"/>
        <w:ind w:left="902"/>
        <w:rPr>
          <w:rFonts w:ascii="宋体" w:hAnsi="宋体"/>
          <w:color w:val="auto"/>
          <w:sz w:val="24"/>
        </w:rPr>
      </w:pPr>
      <w:r>
        <w:rPr>
          <w:rFonts w:hint="eastAsia" w:ascii="宋体" w:hAnsi="宋体"/>
          <w:color w:val="auto"/>
          <w:sz w:val="24"/>
        </w:rPr>
        <w:t>对企业端APP现有企业经营管理、企业自我检查、预警中心、企业整改、监督记录查询、通知消息、个人中心及企业监管动态等功能模块进行升级改造，新增零售药店及食品生产企业上述功能模块的建设。</w:t>
      </w:r>
    </w:p>
    <w:bookmarkEnd w:id="0"/>
    <w:p>
      <w:pPr>
        <w:pStyle w:val="5"/>
        <w:spacing w:before="78" w:beforeLines="25" w:after="78" w:afterLines="25" w:line="440" w:lineRule="exact"/>
        <w:ind w:left="420" w:firstLine="0"/>
        <w:outlineLvl w:val="2"/>
        <w:rPr>
          <w:rFonts w:ascii="宋体" w:hAnsi="宋体" w:cs="宋体"/>
          <w:b/>
          <w:bCs/>
          <w:color w:val="auto"/>
          <w:sz w:val="24"/>
          <w:szCs w:val="24"/>
        </w:rPr>
      </w:pPr>
      <w:bookmarkStart w:id="1" w:name="_Toc77288312"/>
      <w:r>
        <w:rPr>
          <w:rFonts w:ascii="宋体" w:hAnsi="宋体" w:cs="宋体"/>
          <w:b/>
          <w:bCs/>
          <w:color w:val="auto"/>
          <w:sz w:val="24"/>
          <w:szCs w:val="24"/>
        </w:rPr>
        <w:t>4</w:t>
      </w:r>
      <w:r>
        <w:rPr>
          <w:rFonts w:hint="eastAsia" w:ascii="宋体" w:hAnsi="宋体" w:cs="宋体"/>
          <w:b/>
          <w:bCs/>
          <w:color w:val="auto"/>
          <w:sz w:val="24"/>
          <w:szCs w:val="24"/>
        </w:rPr>
        <w:t>、性能需求</w:t>
      </w:r>
      <w:bookmarkEnd w:id="1"/>
    </w:p>
    <w:p>
      <w:pPr>
        <w:pStyle w:val="5"/>
        <w:spacing w:before="78" w:beforeLines="25" w:after="78" w:afterLines="25" w:line="440" w:lineRule="exact"/>
        <w:ind w:firstLine="480" w:firstLineChars="200"/>
        <w:rPr>
          <w:rFonts w:ascii="宋体" w:hAnsi="宋体" w:cs="宋体"/>
          <w:color w:val="auto"/>
          <w:sz w:val="24"/>
          <w:szCs w:val="24"/>
        </w:rPr>
      </w:pPr>
      <w:r>
        <w:rPr>
          <w:rFonts w:hint="eastAsia" w:ascii="宋体" w:hAnsi="宋体" w:cs="宋体"/>
          <w:color w:val="auto"/>
          <w:sz w:val="24"/>
          <w:szCs w:val="24"/>
        </w:rPr>
        <w:t>业务操作响应时间为：50用户并发进行登陆操作时，响应时间小于2s。</w:t>
      </w:r>
    </w:p>
    <w:p>
      <w:pPr>
        <w:pStyle w:val="5"/>
        <w:spacing w:before="78" w:beforeLines="25" w:after="78" w:afterLines="25" w:line="440" w:lineRule="exact"/>
        <w:ind w:firstLine="480" w:firstLineChars="200"/>
        <w:rPr>
          <w:rFonts w:ascii="宋体" w:hAnsi="宋体" w:cs="宋体"/>
          <w:color w:val="auto"/>
          <w:sz w:val="24"/>
          <w:szCs w:val="24"/>
        </w:rPr>
      </w:pPr>
      <w:r>
        <w:rPr>
          <w:rFonts w:hint="eastAsia" w:ascii="宋体" w:hAnsi="宋体" w:cs="宋体"/>
          <w:color w:val="auto"/>
          <w:sz w:val="24"/>
          <w:szCs w:val="24"/>
        </w:rPr>
        <w:t>系统可最大承受50并发访问量，同时可以随时扩充访问量，网页生成时间应在2秒内，报表生成时间在5秒内。</w:t>
      </w:r>
    </w:p>
    <w:p>
      <w:pPr>
        <w:pStyle w:val="5"/>
        <w:spacing w:before="78" w:beforeLines="25" w:after="78" w:afterLines="25" w:line="440" w:lineRule="exact"/>
        <w:ind w:left="420" w:firstLine="0"/>
        <w:outlineLvl w:val="2"/>
        <w:rPr>
          <w:rFonts w:ascii="宋体" w:hAnsi="宋体" w:cs="宋体"/>
          <w:b/>
          <w:bCs/>
          <w:color w:val="auto"/>
          <w:sz w:val="24"/>
          <w:szCs w:val="24"/>
        </w:rPr>
      </w:pPr>
      <w:bookmarkStart w:id="2" w:name="_Toc77288314"/>
      <w:r>
        <w:rPr>
          <w:rFonts w:ascii="宋体" w:hAnsi="宋体" w:cs="宋体"/>
          <w:b/>
          <w:bCs/>
          <w:color w:val="auto"/>
          <w:sz w:val="24"/>
          <w:szCs w:val="24"/>
        </w:rPr>
        <w:t>5</w:t>
      </w:r>
      <w:r>
        <w:rPr>
          <w:rFonts w:hint="eastAsia" w:ascii="宋体" w:hAnsi="宋体" w:cs="宋体"/>
          <w:b/>
          <w:bCs/>
          <w:color w:val="auto"/>
          <w:sz w:val="24"/>
          <w:szCs w:val="24"/>
        </w:rPr>
        <w:t>、信息资源需求</w:t>
      </w:r>
      <w:bookmarkEnd w:id="2"/>
    </w:p>
    <w:p>
      <w:pPr>
        <w:pStyle w:val="5"/>
        <w:spacing w:before="78" w:beforeLines="25" w:after="78" w:afterLines="25" w:line="440" w:lineRule="exact"/>
        <w:ind w:firstLine="480" w:firstLineChars="200"/>
        <w:rPr>
          <w:rFonts w:ascii="宋体" w:hAnsi="宋体" w:cs="宋体"/>
          <w:color w:val="auto"/>
          <w:sz w:val="24"/>
          <w:szCs w:val="24"/>
        </w:rPr>
      </w:pPr>
      <w:r>
        <w:rPr>
          <w:rFonts w:hint="eastAsia" w:ascii="宋体" w:hAnsi="宋体" w:cs="宋体"/>
          <w:color w:val="auto"/>
          <w:sz w:val="24"/>
          <w:szCs w:val="24"/>
        </w:rPr>
        <w:t>系统主要进行工作的任务下达和数据汇总，以文字信息为主。</w:t>
      </w:r>
    </w:p>
    <w:p>
      <w:pPr>
        <w:pStyle w:val="5"/>
        <w:spacing w:before="78" w:beforeLines="25" w:after="78" w:afterLines="25" w:line="440" w:lineRule="exact"/>
        <w:ind w:left="420" w:firstLine="0"/>
        <w:outlineLvl w:val="2"/>
        <w:rPr>
          <w:rFonts w:ascii="宋体" w:hAnsi="宋体" w:cs="宋体"/>
          <w:b/>
          <w:bCs/>
          <w:color w:val="auto"/>
          <w:sz w:val="24"/>
          <w:szCs w:val="24"/>
        </w:rPr>
      </w:pPr>
      <w:bookmarkStart w:id="3" w:name="_Toc77288315"/>
      <w:r>
        <w:rPr>
          <w:rFonts w:ascii="宋体" w:hAnsi="宋体" w:cs="宋体"/>
          <w:b/>
          <w:bCs/>
          <w:color w:val="auto"/>
          <w:sz w:val="24"/>
          <w:szCs w:val="24"/>
        </w:rPr>
        <w:t>6</w:t>
      </w:r>
      <w:r>
        <w:rPr>
          <w:rFonts w:hint="eastAsia" w:ascii="宋体" w:hAnsi="宋体" w:cs="宋体"/>
          <w:b/>
          <w:bCs/>
          <w:color w:val="auto"/>
          <w:sz w:val="24"/>
          <w:szCs w:val="24"/>
        </w:rPr>
        <w:t>、信息安全需求</w:t>
      </w:r>
      <w:bookmarkEnd w:id="3"/>
    </w:p>
    <w:p>
      <w:pPr>
        <w:pStyle w:val="5"/>
        <w:spacing w:before="78" w:beforeLines="25" w:after="78" w:afterLines="25" w:line="440" w:lineRule="exact"/>
        <w:ind w:firstLine="480" w:firstLineChars="200"/>
        <w:rPr>
          <w:rFonts w:ascii="宋体" w:hAnsi="宋体" w:cs="宋体"/>
          <w:color w:val="auto"/>
          <w:sz w:val="24"/>
          <w:szCs w:val="24"/>
        </w:rPr>
      </w:pPr>
      <w:r>
        <w:rPr>
          <w:rFonts w:hint="eastAsia" w:ascii="宋体" w:hAnsi="宋体" w:cs="宋体"/>
          <w:color w:val="auto"/>
          <w:sz w:val="24"/>
          <w:szCs w:val="24"/>
        </w:rPr>
        <w:t>满足深圳市小型电子政务项目及深圳市龙岗区政务云的安全性要求，上线前需经过第三方安全机构的安全漏洞扫描，并定期接受安全测试。</w:t>
      </w:r>
    </w:p>
    <w:p>
      <w:pPr>
        <w:numPr>
          <w:ilvl w:val="0"/>
          <w:numId w:val="6"/>
        </w:numPr>
        <w:spacing w:line="440" w:lineRule="exact"/>
        <w:outlineLvl w:val="1"/>
        <w:rPr>
          <w:rFonts w:ascii="宋体" w:hAnsi="宋体" w:cs="宋体"/>
          <w:color w:val="auto"/>
          <w:sz w:val="28"/>
          <w:szCs w:val="28"/>
        </w:rPr>
      </w:pPr>
      <w:r>
        <w:rPr>
          <w:rFonts w:hint="eastAsia" w:ascii="宋体" w:hAnsi="宋体" w:cs="宋体"/>
          <w:color w:val="auto"/>
          <w:sz w:val="28"/>
          <w:szCs w:val="28"/>
        </w:rPr>
        <w:t>项目商务要求</w:t>
      </w:r>
    </w:p>
    <w:p>
      <w:pPr>
        <w:numPr>
          <w:ilvl w:val="0"/>
          <w:numId w:val="7"/>
        </w:numPr>
        <w:spacing w:line="440" w:lineRule="exact"/>
        <w:ind w:left="630"/>
        <w:outlineLvl w:val="2"/>
        <w:rPr>
          <w:rFonts w:ascii="宋体" w:hAnsi="宋体" w:cs="宋体"/>
          <w:color w:val="auto"/>
          <w:sz w:val="24"/>
          <w:u w:val="single"/>
        </w:rPr>
      </w:pPr>
      <w:r>
        <w:rPr>
          <w:rFonts w:hint="eastAsia" w:ascii="宋体" w:hAnsi="宋体" w:cs="宋体"/>
          <w:color w:val="auto"/>
          <w:sz w:val="24"/>
          <w:u w:val="single"/>
        </w:rPr>
        <w:t>服务期限：</w:t>
      </w:r>
    </w:p>
    <w:p>
      <w:pPr>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rPr>
        <w:t>合同签订之日起至</w:t>
      </w:r>
      <w:r>
        <w:rPr>
          <w:rFonts w:ascii="宋体" w:hAnsi="宋体" w:cs="宋体"/>
          <w:color w:val="auto"/>
          <w:sz w:val="24"/>
        </w:rPr>
        <w:t>202</w:t>
      </w:r>
      <w:r>
        <w:rPr>
          <w:rFonts w:hint="eastAsia" w:ascii="宋体" w:hAnsi="宋体" w:cs="宋体"/>
          <w:color w:val="auto"/>
          <w:sz w:val="24"/>
          <w:lang w:val="en-US" w:eastAsia="zh-CN"/>
        </w:rPr>
        <w:t>3</w:t>
      </w:r>
      <w:r>
        <w:rPr>
          <w:rFonts w:hint="eastAsia" w:ascii="宋体" w:hAnsi="宋体" w:cs="宋体"/>
          <w:color w:val="auto"/>
          <w:sz w:val="24"/>
        </w:rPr>
        <w:t>年11月</w:t>
      </w:r>
      <w:r>
        <w:rPr>
          <w:rFonts w:ascii="宋体" w:hAnsi="宋体" w:cs="宋体"/>
          <w:color w:val="auto"/>
          <w:sz w:val="24"/>
        </w:rPr>
        <w:t>30</w:t>
      </w:r>
      <w:r>
        <w:rPr>
          <w:rFonts w:hint="eastAsia" w:ascii="宋体" w:hAnsi="宋体" w:cs="宋体"/>
          <w:color w:val="auto"/>
          <w:sz w:val="24"/>
        </w:rPr>
        <w:t>日前完</w:t>
      </w:r>
      <w:r>
        <w:rPr>
          <w:rFonts w:hint="eastAsia" w:ascii="宋体" w:hAnsi="宋体" w:cs="宋体"/>
          <w:color w:val="auto"/>
          <w:sz w:val="24"/>
          <w:highlight w:val="none"/>
        </w:rPr>
        <w:t>成</w:t>
      </w:r>
      <w:r>
        <w:rPr>
          <w:rFonts w:hint="eastAsia" w:ascii="宋体" w:hAnsi="宋体" w:cs="宋体"/>
          <w:color w:val="auto"/>
          <w:sz w:val="24"/>
          <w:highlight w:val="none"/>
          <w:lang w:val="en-US" w:eastAsia="zh-CN"/>
        </w:rPr>
        <w:t>该项目</w:t>
      </w:r>
      <w:r>
        <w:rPr>
          <w:rFonts w:hint="eastAsia" w:ascii="宋体" w:hAnsi="宋体" w:cs="宋体"/>
          <w:color w:val="auto"/>
          <w:sz w:val="24"/>
          <w:highlight w:val="none"/>
        </w:rPr>
        <w:t>。</w:t>
      </w:r>
    </w:p>
    <w:p>
      <w:pPr>
        <w:spacing w:line="440" w:lineRule="exact"/>
        <w:ind w:firstLine="480" w:firstLineChars="200"/>
        <w:jc w:val="left"/>
        <w:rPr>
          <w:rFonts w:ascii="宋体" w:hAnsi="宋体" w:cs="宋体"/>
          <w:bCs/>
          <w:color w:val="auto"/>
          <w:sz w:val="24"/>
        </w:rPr>
      </w:pPr>
      <w:r>
        <w:rPr>
          <w:rFonts w:hint="eastAsia" w:ascii="宋体" w:hAnsi="宋体" w:cs="宋体"/>
          <w:bCs/>
          <w:color w:val="auto"/>
          <w:sz w:val="24"/>
        </w:rPr>
        <w:t>□  本项目属于长期服务项目。采购人可根据中标供应商履约服务情况申请延长，但累计服务期限最长不超过三年，合同一年一签。</w:t>
      </w:r>
    </w:p>
    <w:p>
      <w:pPr>
        <w:spacing w:line="440" w:lineRule="exact"/>
        <w:ind w:firstLine="480" w:firstLineChars="200"/>
        <w:jc w:val="left"/>
        <w:rPr>
          <w:rFonts w:ascii="宋体" w:hAnsi="宋体" w:cs="宋体"/>
          <w:bCs/>
          <w:color w:val="auto"/>
          <w:sz w:val="24"/>
        </w:rPr>
      </w:pPr>
      <w:r>
        <w:rPr>
          <w:rFonts w:ascii="宋体" w:hAnsi="宋体" w:cs="宋体"/>
          <w:bCs/>
          <w:color w:val="auto"/>
          <w:sz w:val="24"/>
          <w:lang w:val="en"/>
        </w:rPr>
        <w:t>☑</w:t>
      </w:r>
      <w:r>
        <w:rPr>
          <w:rFonts w:hint="eastAsia" w:ascii="宋体" w:hAnsi="宋体" w:cs="宋体"/>
          <w:bCs/>
          <w:color w:val="auto"/>
          <w:sz w:val="24"/>
        </w:rPr>
        <w:t xml:space="preserve">  本项目属于非长期服务项目。</w:t>
      </w:r>
    </w:p>
    <w:p>
      <w:pPr>
        <w:numPr>
          <w:ilvl w:val="0"/>
          <w:numId w:val="8"/>
        </w:numPr>
        <w:spacing w:line="440" w:lineRule="exact"/>
        <w:ind w:left="630"/>
        <w:outlineLvl w:val="2"/>
        <w:rPr>
          <w:rFonts w:ascii="宋体" w:hAnsi="宋体" w:cs="宋体"/>
          <w:color w:val="auto"/>
          <w:sz w:val="24"/>
          <w:u w:val="single"/>
        </w:rPr>
      </w:pPr>
      <w:r>
        <w:rPr>
          <w:rFonts w:hint="eastAsia" w:ascii="宋体" w:hAnsi="宋体" w:cs="宋体"/>
          <w:color w:val="auto"/>
          <w:sz w:val="24"/>
          <w:u w:val="single"/>
        </w:rPr>
        <w:t>付款方式：</w:t>
      </w:r>
    </w:p>
    <w:p>
      <w:pPr>
        <w:spacing w:line="440" w:lineRule="exact"/>
        <w:ind w:firstLine="480" w:firstLineChars="200"/>
        <w:jc w:val="left"/>
        <w:rPr>
          <w:rFonts w:ascii="宋体" w:hAnsi="宋体" w:cs="宋体"/>
          <w:bCs/>
          <w:color w:val="FF0000"/>
          <w:sz w:val="24"/>
        </w:rPr>
      </w:pPr>
      <w:bookmarkStart w:id="4" w:name="付款方式_1"/>
      <w:r>
        <w:rPr>
          <w:rFonts w:ascii="宋体" w:hAnsi="宋体" w:cs="宋体"/>
          <w:bCs/>
          <w:color w:val="auto"/>
          <w:sz w:val="24"/>
          <w:lang w:val="en"/>
        </w:rPr>
        <w:t>☑</w:t>
      </w:r>
      <w:r>
        <w:rPr>
          <w:rFonts w:hint="eastAsia" w:ascii="宋体" w:hAnsi="宋体" w:cs="宋体"/>
          <w:bCs/>
          <w:color w:val="auto"/>
          <w:sz w:val="24"/>
        </w:rPr>
        <w:t xml:space="preserve">  分期付款：</w:t>
      </w:r>
      <w:r>
        <w:rPr>
          <w:rFonts w:ascii="宋体" w:hAnsi="宋体" w:eastAsia="宋体" w:cs="宋体"/>
          <w:sz w:val="24"/>
          <w:szCs w:val="24"/>
        </w:rPr>
        <w:t>合同签订后，中标方提供符合规定的发票，采购方30日内支付372900元，进度款和尾款于2023年按照合同约定支付</w:t>
      </w:r>
      <w:r>
        <w:rPr>
          <w:rFonts w:hint="eastAsia" w:ascii="宋体" w:hAnsi="宋体" w:cs="宋体"/>
          <w:color w:val="auto"/>
          <w:sz w:val="24"/>
        </w:rPr>
        <w:t>。</w:t>
      </w:r>
    </w:p>
    <w:p>
      <w:pPr>
        <w:spacing w:line="440" w:lineRule="exact"/>
        <w:ind w:firstLine="480" w:firstLineChars="200"/>
        <w:jc w:val="left"/>
        <w:rPr>
          <w:rFonts w:ascii="宋体" w:hAnsi="宋体" w:cs="宋体"/>
          <w:bCs/>
          <w:sz w:val="24"/>
        </w:rPr>
      </w:pPr>
      <w:r>
        <w:rPr>
          <w:rFonts w:hint="eastAsia" w:ascii="宋体" w:hAnsi="宋体" w:cs="宋体"/>
          <w:bCs/>
          <w:sz w:val="24"/>
        </w:rPr>
        <w:t>□  一次性付款：项目验收合格后，中标方提供给符合规定的发票后，采购方一次性支付合同总额100%。</w:t>
      </w:r>
    </w:p>
    <w:bookmarkEnd w:id="4"/>
    <w:p>
      <w:pPr>
        <w:numPr>
          <w:ilvl w:val="0"/>
          <w:numId w:val="8"/>
        </w:numPr>
        <w:spacing w:line="440" w:lineRule="exact"/>
        <w:ind w:left="630"/>
        <w:outlineLvl w:val="2"/>
        <w:rPr>
          <w:rFonts w:ascii="宋体" w:hAnsi="宋体" w:cs="宋体"/>
          <w:sz w:val="24"/>
          <w:u w:val="single"/>
        </w:rPr>
      </w:pPr>
      <w:r>
        <w:rPr>
          <w:rFonts w:hint="eastAsia" w:ascii="宋体" w:hAnsi="宋体" w:cs="宋体"/>
          <w:sz w:val="24"/>
          <w:u w:val="single"/>
        </w:rPr>
        <w:t>知识产权：</w:t>
      </w:r>
    </w:p>
    <w:p>
      <w:pPr>
        <w:spacing w:line="440" w:lineRule="exact"/>
        <w:ind w:firstLine="480" w:firstLineChars="200"/>
        <w:jc w:val="left"/>
        <w:rPr>
          <w:rFonts w:ascii="宋体" w:hAnsi="宋体" w:cs="宋体"/>
          <w:bCs/>
          <w:sz w:val="24"/>
        </w:rPr>
      </w:pPr>
      <w:r>
        <w:rPr>
          <w:rFonts w:hint="eastAsia" w:ascii="宋体" w:hAnsi="宋体" w:cs="宋体"/>
          <w:sz w:val="24"/>
        </w:rPr>
        <w:t>（1）中标供应商</w:t>
      </w:r>
      <w:r>
        <w:rPr>
          <w:rFonts w:hint="eastAsia" w:ascii="宋体" w:hAnsi="宋体" w:cs="宋体"/>
          <w:bCs/>
          <w:sz w:val="24"/>
        </w:rPr>
        <w:t>在项目实施过程中不得侵犯第三人知识产权以及其他权益。需要使用第三人知识产权的，</w:t>
      </w:r>
      <w:r>
        <w:rPr>
          <w:rFonts w:hint="eastAsia" w:ascii="宋体" w:hAnsi="宋体" w:cs="宋体"/>
          <w:sz w:val="24"/>
        </w:rPr>
        <w:t>中标供应商</w:t>
      </w:r>
      <w:r>
        <w:rPr>
          <w:rFonts w:hint="eastAsia" w:ascii="宋体" w:hAnsi="宋体" w:cs="宋体"/>
          <w:bCs/>
          <w:sz w:val="24"/>
        </w:rPr>
        <w:t>应取得权利人许可或者授权并由</w:t>
      </w:r>
      <w:r>
        <w:rPr>
          <w:rFonts w:hint="eastAsia" w:ascii="宋体" w:hAnsi="宋体" w:cs="宋体"/>
          <w:sz w:val="24"/>
        </w:rPr>
        <w:t>中标供应商</w:t>
      </w:r>
      <w:r>
        <w:rPr>
          <w:rFonts w:hint="eastAsia" w:ascii="宋体" w:hAnsi="宋体" w:cs="宋体"/>
          <w:bCs/>
          <w:sz w:val="24"/>
        </w:rPr>
        <w:t>承担费用。</w:t>
      </w:r>
    </w:p>
    <w:p>
      <w:pPr>
        <w:spacing w:line="440" w:lineRule="exact"/>
        <w:ind w:firstLine="480" w:firstLineChars="200"/>
        <w:jc w:val="left"/>
        <w:rPr>
          <w:rFonts w:ascii="宋体" w:hAnsi="宋体" w:cs="宋体"/>
          <w:sz w:val="24"/>
        </w:rPr>
      </w:pPr>
      <w:r>
        <w:rPr>
          <w:rFonts w:hint="eastAsia" w:ascii="宋体" w:hAnsi="宋体" w:cs="宋体"/>
          <w:bCs/>
          <w:sz w:val="24"/>
        </w:rPr>
        <w:t>（2）除第三人依法享有知识产权的除外，</w:t>
      </w:r>
      <w:r>
        <w:rPr>
          <w:rFonts w:hint="eastAsia" w:ascii="宋体" w:hAnsi="宋体" w:cs="宋体"/>
          <w:sz w:val="24"/>
        </w:rPr>
        <w:t>中标供应商</w:t>
      </w:r>
      <w:r>
        <w:rPr>
          <w:rFonts w:hint="eastAsia" w:ascii="宋体" w:hAnsi="宋体" w:cs="宋体"/>
          <w:bCs/>
          <w:sz w:val="24"/>
        </w:rPr>
        <w:t>实施本项目所形成成果的知识产权归采购人所有，未经采购人许可，</w:t>
      </w:r>
      <w:r>
        <w:rPr>
          <w:rFonts w:hint="eastAsia" w:ascii="宋体" w:hAnsi="宋体" w:cs="宋体"/>
          <w:sz w:val="24"/>
        </w:rPr>
        <w:t>中标供应商</w:t>
      </w:r>
      <w:r>
        <w:rPr>
          <w:rFonts w:hint="eastAsia" w:ascii="宋体" w:hAnsi="宋体" w:cs="宋体"/>
          <w:bCs/>
          <w:sz w:val="24"/>
        </w:rPr>
        <w:t>不得随意使用。</w:t>
      </w:r>
    </w:p>
    <w:p>
      <w:pPr>
        <w:numPr>
          <w:ilvl w:val="0"/>
          <w:numId w:val="8"/>
        </w:numPr>
        <w:spacing w:line="440" w:lineRule="exact"/>
        <w:ind w:left="630"/>
        <w:outlineLvl w:val="2"/>
        <w:rPr>
          <w:rFonts w:ascii="宋体" w:hAnsi="宋体" w:cs="宋体"/>
          <w:sz w:val="24"/>
          <w:u w:val="single"/>
        </w:rPr>
      </w:pPr>
      <w:r>
        <w:rPr>
          <w:rFonts w:hint="eastAsia" w:ascii="宋体" w:hAnsi="宋体" w:cs="宋体"/>
          <w:sz w:val="24"/>
          <w:u w:val="single"/>
        </w:rPr>
        <w:t>报价要求：</w:t>
      </w:r>
    </w:p>
    <w:p>
      <w:pPr>
        <w:spacing w:line="440" w:lineRule="exact"/>
        <w:ind w:firstLine="480" w:firstLineChars="200"/>
        <w:rPr>
          <w:rFonts w:ascii="宋体" w:hAnsi="宋体" w:cs="宋体"/>
          <w:sz w:val="24"/>
        </w:rPr>
      </w:pPr>
      <w:r>
        <w:rPr>
          <w:rFonts w:hint="eastAsia" w:ascii="宋体" w:hAnsi="宋体" w:cs="宋体"/>
          <w:sz w:val="24"/>
        </w:rPr>
        <w:t>（1）本项目服务费采用包干制，应包括服务成本、法定税费和企业的利润。由投标供应商根据采购文件所提供的资料自行测算投标报价；一经中标，报价总价作为中标供应商与采购人签订的合同金额，合同期限内不做调整。</w:t>
      </w:r>
    </w:p>
    <w:p>
      <w:pPr>
        <w:spacing w:line="440" w:lineRule="exact"/>
        <w:ind w:firstLine="480" w:firstLineChars="200"/>
        <w:rPr>
          <w:rFonts w:ascii="宋体" w:hAnsi="宋体" w:cs="宋体"/>
          <w:sz w:val="24"/>
        </w:rPr>
      </w:pPr>
      <w:r>
        <w:rPr>
          <w:rFonts w:hint="eastAsia" w:ascii="宋体" w:hAnsi="宋体" w:cs="宋体"/>
          <w:sz w:val="24"/>
        </w:rPr>
        <w:t>（2）投标供应商应当根据本企业的成本自行决定报价，但不得以低于其企业成本的报价投标。</w:t>
      </w:r>
    </w:p>
    <w:p>
      <w:pPr>
        <w:spacing w:line="440" w:lineRule="exact"/>
        <w:ind w:firstLine="480" w:firstLineChars="200"/>
        <w:rPr>
          <w:rFonts w:ascii="宋体" w:hAnsi="宋体" w:cs="宋体"/>
          <w:sz w:val="24"/>
        </w:rPr>
      </w:pPr>
      <w:r>
        <w:rPr>
          <w:rFonts w:hint="eastAsia" w:ascii="宋体" w:hAnsi="宋体" w:cs="宋体"/>
          <w:sz w:val="24"/>
        </w:rPr>
        <w:t>（3）投标供应商的报价不得超过项目预算金额。</w:t>
      </w:r>
    </w:p>
    <w:p>
      <w:pPr>
        <w:spacing w:line="440" w:lineRule="exact"/>
        <w:ind w:firstLine="480" w:firstLineChars="200"/>
        <w:rPr>
          <w:rFonts w:ascii="宋体" w:hAnsi="宋体" w:cs="宋体"/>
          <w:sz w:val="24"/>
        </w:rPr>
      </w:pPr>
      <w:r>
        <w:rPr>
          <w:rFonts w:hint="eastAsia" w:ascii="宋体" w:hAnsi="宋体" w:cs="宋体"/>
          <w:sz w:val="24"/>
        </w:rPr>
        <w:t>（4）投标供应商的报价，应当是本项目采购范围和采购文件及合同条款上所列的各项内容中所述的全部，不得以任何理由予以重复。</w:t>
      </w:r>
    </w:p>
    <w:p>
      <w:pPr>
        <w:spacing w:line="440" w:lineRule="exact"/>
        <w:ind w:firstLine="480" w:firstLineChars="200"/>
        <w:rPr>
          <w:rFonts w:ascii="宋体" w:hAnsi="宋体" w:cs="宋体"/>
          <w:sz w:val="24"/>
        </w:rPr>
      </w:pPr>
      <w:r>
        <w:rPr>
          <w:rFonts w:hint="eastAsia" w:ascii="宋体" w:hAnsi="宋体" w:cs="宋体"/>
          <w:sz w:val="24"/>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spacing w:line="440" w:lineRule="exact"/>
        <w:ind w:firstLine="480" w:firstLineChars="200"/>
        <w:rPr>
          <w:rFonts w:ascii="宋体" w:hAnsi="宋体" w:cs="宋体"/>
          <w:sz w:val="24"/>
        </w:rPr>
      </w:pPr>
      <w:r>
        <w:rPr>
          <w:rFonts w:hint="eastAsia" w:ascii="宋体" w:hAnsi="宋体" w:cs="宋体"/>
          <w:sz w:val="24"/>
        </w:rPr>
        <w:t>（6）投标供应商不得期望通过索赔等方式获取补偿，否则，除可能遭到拒绝外，还可能将被作为不良行为记录在案，并可能影响其以后参加政府采购的项目投标。各投标供应商在报价时，应充分考虑报价的风险。</w:t>
      </w:r>
    </w:p>
    <w:p>
      <w:pPr>
        <w:numPr>
          <w:ilvl w:val="0"/>
          <w:numId w:val="8"/>
        </w:numPr>
        <w:spacing w:line="440" w:lineRule="exact"/>
        <w:ind w:left="630"/>
        <w:outlineLvl w:val="2"/>
        <w:rPr>
          <w:rFonts w:ascii="宋体" w:hAnsi="宋体" w:cs="宋体"/>
          <w:sz w:val="24"/>
          <w:u w:val="single"/>
        </w:rPr>
      </w:pPr>
      <w:r>
        <w:rPr>
          <w:rFonts w:hint="eastAsia" w:ascii="宋体" w:hAnsi="宋体" w:cs="宋体"/>
          <w:sz w:val="24"/>
          <w:u w:val="single"/>
        </w:rPr>
        <w:t>售后服务：</w:t>
      </w:r>
    </w:p>
    <w:p>
      <w:pPr>
        <w:spacing w:line="440" w:lineRule="exact"/>
        <w:ind w:firstLine="480" w:firstLineChars="200"/>
        <w:rPr>
          <w:rFonts w:ascii="宋体" w:hAnsi="宋体" w:cs="宋体"/>
          <w:sz w:val="24"/>
        </w:rPr>
      </w:pPr>
      <w:r>
        <w:rPr>
          <w:rFonts w:hint="eastAsia" w:ascii="宋体" w:hAnsi="宋体" w:cs="宋体"/>
          <w:sz w:val="24"/>
        </w:rPr>
        <w:t>中标人需提供为期一年的售后服务，服务费价格计入投标总价中。售后服务期自系统验收合格之日起计算。</w:t>
      </w:r>
    </w:p>
    <w:p>
      <w:pPr>
        <w:numPr>
          <w:ilvl w:val="0"/>
          <w:numId w:val="8"/>
        </w:numPr>
        <w:spacing w:line="440" w:lineRule="exact"/>
        <w:ind w:left="630"/>
        <w:outlineLvl w:val="2"/>
        <w:rPr>
          <w:rFonts w:ascii="宋体" w:hAnsi="宋体" w:cs="宋体"/>
          <w:sz w:val="24"/>
          <w:u w:val="single"/>
        </w:rPr>
      </w:pPr>
      <w:r>
        <w:rPr>
          <w:rFonts w:hint="eastAsia" w:ascii="宋体" w:hAnsi="宋体" w:cs="宋体"/>
          <w:sz w:val="24"/>
          <w:u w:val="single"/>
        </w:rPr>
        <w:t>验收标准及违约责任</w:t>
      </w:r>
    </w:p>
    <w:p>
      <w:pPr>
        <w:spacing w:line="440" w:lineRule="exact"/>
        <w:ind w:firstLine="480" w:firstLineChars="200"/>
        <w:rPr>
          <w:rFonts w:ascii="宋体" w:hAnsi="宋体" w:cs="宋体"/>
          <w:sz w:val="24"/>
        </w:rPr>
      </w:pPr>
      <w:r>
        <w:rPr>
          <w:rFonts w:hint="eastAsia" w:ascii="宋体" w:hAnsi="宋体" w:cs="宋体"/>
          <w:sz w:val="24"/>
        </w:rPr>
        <w:t>（1）验收标准：</w:t>
      </w:r>
      <w:r>
        <w:rPr>
          <w:rFonts w:ascii="宋体" w:hAnsi="宋体" w:cs="宋体"/>
          <w:sz w:val="24"/>
        </w:rPr>
        <w:t>系统上线并通过需求性能测试</w:t>
      </w:r>
    </w:p>
    <w:p>
      <w:pPr>
        <w:spacing w:line="440" w:lineRule="exact"/>
        <w:ind w:firstLine="480" w:firstLineChars="200"/>
        <w:rPr>
          <w:rFonts w:ascii="宋体" w:hAnsi="宋体" w:cs="宋体"/>
          <w:sz w:val="24"/>
        </w:rPr>
      </w:pPr>
      <w:r>
        <w:rPr>
          <w:rFonts w:hint="eastAsia" w:ascii="宋体" w:hAnsi="宋体" w:cs="宋体"/>
          <w:sz w:val="24"/>
        </w:rPr>
        <w:t>（2）违约责任：按照合同签订的规定执行。</w:t>
      </w:r>
    </w:p>
    <w:p>
      <w:pPr>
        <w:numPr>
          <w:ilvl w:val="0"/>
          <w:numId w:val="8"/>
        </w:numPr>
        <w:spacing w:line="440" w:lineRule="exact"/>
        <w:ind w:left="630"/>
        <w:outlineLvl w:val="2"/>
        <w:rPr>
          <w:rFonts w:ascii="宋体" w:hAnsi="宋体" w:cs="宋体"/>
          <w:sz w:val="24"/>
          <w:u w:val="single"/>
        </w:rPr>
      </w:pPr>
      <w:r>
        <w:rPr>
          <w:rFonts w:hint="eastAsia" w:ascii="宋体" w:hAnsi="宋体" w:cs="宋体"/>
          <w:sz w:val="24"/>
          <w:u w:val="single"/>
        </w:rPr>
        <w:t>售后服务：</w:t>
      </w:r>
    </w:p>
    <w:p>
      <w:pPr>
        <w:spacing w:line="440" w:lineRule="exact"/>
        <w:ind w:firstLine="480" w:firstLineChars="200"/>
        <w:rPr>
          <w:rFonts w:ascii="宋体" w:hAnsi="宋体" w:cs="宋体"/>
          <w:sz w:val="24"/>
        </w:rPr>
      </w:pPr>
      <w:r>
        <w:rPr>
          <w:rFonts w:hint="eastAsia" w:ascii="宋体" w:hAnsi="宋体" w:cs="宋体"/>
          <w:sz w:val="24"/>
        </w:rPr>
        <w:t>中标机构应积极配合采购方开展售后工作，应安排专人与采购方联系，并提供手机、邮箱等联系方式，必要时应在30分钟内及时响应采购方需求。</w:t>
      </w:r>
    </w:p>
    <w:p>
      <w:pPr>
        <w:spacing w:line="440" w:lineRule="exact"/>
        <w:ind w:firstLine="480" w:firstLineChars="200"/>
        <w:rPr>
          <w:rFonts w:ascii="宋体" w:hAnsi="宋体" w:cs="宋体"/>
          <w:sz w:val="24"/>
        </w:rPr>
      </w:pPr>
    </w:p>
    <w:p>
      <w:pPr>
        <w:numPr>
          <w:ilvl w:val="0"/>
          <w:numId w:val="9"/>
        </w:numPr>
        <w:spacing w:line="440" w:lineRule="exact"/>
        <w:outlineLvl w:val="0"/>
        <w:rPr>
          <w:rFonts w:ascii="宋体" w:hAnsi="宋体" w:cs="宋体"/>
          <w:sz w:val="24"/>
          <w:u w:val="single"/>
        </w:rPr>
      </w:pPr>
      <w:r>
        <w:rPr>
          <w:rFonts w:hint="eastAsia" w:ascii="宋体" w:hAnsi="宋体" w:cs="宋体"/>
          <w:sz w:val="24"/>
        </w:rPr>
        <w:t>采购方式：</w:t>
      </w:r>
      <w:r>
        <w:rPr>
          <w:rFonts w:hint="eastAsia" w:ascii="宋体" w:hAnsi="宋体" w:cs="宋体"/>
          <w:sz w:val="24"/>
          <w:u w:val="single"/>
        </w:rPr>
        <w:t>综合评分</w:t>
      </w:r>
      <w:r>
        <w:rPr>
          <w:rFonts w:hint="eastAsia" w:ascii="宋体" w:hAnsi="宋体" w:cs="宋体"/>
          <w:sz w:val="24"/>
        </w:rPr>
        <w:t>；</w:t>
      </w:r>
    </w:p>
    <w:p>
      <w:pPr>
        <w:spacing w:line="440" w:lineRule="exact"/>
        <w:ind w:firstLine="480" w:firstLineChars="200"/>
        <w:rPr>
          <w:rFonts w:ascii="宋体" w:hAnsi="宋体" w:cs="宋体"/>
          <w:sz w:val="24"/>
          <w:u w:val="single"/>
        </w:rPr>
      </w:pPr>
      <w:r>
        <w:rPr>
          <w:rFonts w:hint="eastAsia" w:ascii="宋体" w:hAnsi="宋体" w:cs="宋体"/>
          <w:sz w:val="24"/>
        </w:rPr>
        <w:t>优惠政策的价格扣除比例：</w:t>
      </w:r>
      <w:r>
        <w:rPr>
          <w:rFonts w:hint="eastAsia" w:ascii="宋体" w:hAnsi="宋体" w:cs="宋体"/>
          <w:sz w:val="24"/>
          <w:u w:val="single"/>
        </w:rPr>
        <w:t xml:space="preserve"> 10</w:t>
      </w:r>
      <w:r>
        <w:rPr>
          <w:rFonts w:ascii="宋体" w:hAnsi="宋体" w:cs="宋体"/>
          <w:sz w:val="24"/>
          <w:u w:val="single"/>
        </w:rPr>
        <w:t>%</w:t>
      </w:r>
      <w:r>
        <w:rPr>
          <w:rFonts w:hint="eastAsia" w:ascii="宋体" w:hAnsi="宋体" w:cs="宋体"/>
          <w:sz w:val="24"/>
          <w:u w:val="single"/>
        </w:rPr>
        <w:t xml:space="preserve"> </w:t>
      </w:r>
    </w:p>
    <w:p>
      <w:pPr>
        <w:spacing w:line="440" w:lineRule="exact"/>
        <w:rPr>
          <w:rFonts w:ascii="宋体" w:hAnsi="宋体" w:cs="宋体"/>
          <w:sz w:val="24"/>
          <w:u w:val="single"/>
        </w:rPr>
      </w:pPr>
    </w:p>
    <w:tbl>
      <w:tblPr>
        <w:tblStyle w:val="1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0" w:type="dxa"/>
          <w:left w:w="108" w:type="dxa"/>
          <w:bottom w:w="20" w:type="dxa"/>
          <w:right w:w="108" w:type="dxa"/>
        </w:tblCellMar>
      </w:tblPr>
      <w:tblGrid>
        <w:gridCol w:w="676"/>
        <w:gridCol w:w="675"/>
        <w:gridCol w:w="2792"/>
        <w:gridCol w:w="776"/>
        <w:gridCol w:w="4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blHeader/>
          <w:jc w:val="center"/>
        </w:trPr>
        <w:tc>
          <w:tcPr>
            <w:tcW w:w="676" w:type="dxa"/>
            <w:shd w:val="clear" w:color="auto" w:fill="E6EFFA"/>
            <w:vAlign w:val="center"/>
          </w:tcPr>
          <w:p>
            <w:pPr>
              <w:wordWrap w:val="0"/>
              <w:spacing w:line="440" w:lineRule="exact"/>
              <w:jc w:val="center"/>
              <w:rPr>
                <w:rFonts w:ascii="宋体" w:hAnsi="宋体" w:cs="宋体"/>
                <w:b/>
                <w:bCs/>
                <w:sz w:val="24"/>
              </w:rPr>
            </w:pPr>
            <w:r>
              <w:rPr>
                <w:rFonts w:hint="eastAsia" w:ascii="宋体" w:hAnsi="宋体" w:cs="宋体"/>
                <w:b/>
                <w:bCs/>
              </w:rPr>
              <w:t>序号</w:t>
            </w:r>
          </w:p>
        </w:tc>
        <w:tc>
          <w:tcPr>
            <w:tcW w:w="4243" w:type="dxa"/>
            <w:gridSpan w:val="3"/>
            <w:shd w:val="clear" w:color="auto" w:fill="E6EFFA"/>
            <w:vAlign w:val="center"/>
          </w:tcPr>
          <w:p>
            <w:pPr>
              <w:wordWrap w:val="0"/>
              <w:spacing w:line="440" w:lineRule="exact"/>
              <w:jc w:val="center"/>
              <w:rPr>
                <w:rFonts w:ascii="宋体" w:hAnsi="宋体" w:cs="宋体"/>
                <w:b/>
                <w:bCs/>
                <w:sz w:val="24"/>
              </w:rPr>
            </w:pPr>
            <w:r>
              <w:rPr>
                <w:rFonts w:hint="eastAsia" w:ascii="宋体" w:hAnsi="宋体" w:cs="宋体"/>
                <w:b/>
                <w:bCs/>
              </w:rPr>
              <w:t>评分项</w:t>
            </w:r>
          </w:p>
        </w:tc>
        <w:tc>
          <w:tcPr>
            <w:tcW w:w="4153" w:type="dxa"/>
            <w:shd w:val="clear" w:color="auto" w:fill="E6EFFA"/>
            <w:vAlign w:val="center"/>
          </w:tcPr>
          <w:p>
            <w:pPr>
              <w:wordWrap w:val="0"/>
              <w:spacing w:line="440" w:lineRule="exact"/>
              <w:jc w:val="center"/>
              <w:rPr>
                <w:rFonts w:ascii="宋体" w:hAnsi="宋体" w:cs="宋体"/>
                <w:b/>
                <w:bCs/>
                <w:sz w:val="24"/>
              </w:rPr>
            </w:pPr>
            <w:r>
              <w:rPr>
                <w:rFonts w:hint="eastAsia" w:ascii="宋体" w:hAnsi="宋体" w:cs="宋体"/>
                <w:b/>
                <w:bCs/>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restart"/>
          </w:tcPr>
          <w:p>
            <w:pPr>
              <w:wordWrap w:val="0"/>
              <w:spacing w:line="440" w:lineRule="exact"/>
              <w:jc w:val="center"/>
              <w:rPr>
                <w:rFonts w:ascii="宋体" w:hAnsi="宋体" w:cs="宋体"/>
                <w:b/>
                <w:bCs/>
                <w:sz w:val="24"/>
              </w:rPr>
            </w:pPr>
            <w:r>
              <w:rPr>
                <w:rFonts w:hint="eastAsia" w:ascii="宋体" w:hAnsi="宋体" w:cs="宋体"/>
                <w:b/>
                <w:bCs/>
              </w:rPr>
              <w:t>1</w:t>
            </w:r>
          </w:p>
        </w:tc>
        <w:tc>
          <w:tcPr>
            <w:tcW w:w="4243" w:type="dxa"/>
            <w:gridSpan w:val="3"/>
          </w:tcPr>
          <w:p>
            <w:pPr>
              <w:wordWrap w:val="0"/>
              <w:spacing w:line="440" w:lineRule="exact"/>
              <w:jc w:val="center"/>
              <w:rPr>
                <w:rFonts w:ascii="宋体" w:hAnsi="宋体" w:cs="宋体"/>
                <w:b/>
                <w:bCs/>
                <w:sz w:val="24"/>
              </w:rPr>
            </w:pPr>
            <w:r>
              <w:rPr>
                <w:rFonts w:hint="eastAsia" w:ascii="宋体" w:hAnsi="宋体" w:cs="宋体"/>
                <w:b/>
                <w:bCs/>
              </w:rPr>
              <w:t>价格</w:t>
            </w:r>
          </w:p>
        </w:tc>
        <w:tc>
          <w:tcPr>
            <w:tcW w:w="4153" w:type="dxa"/>
          </w:tcPr>
          <w:p>
            <w:pPr>
              <w:wordWrap w:val="0"/>
              <w:spacing w:line="440" w:lineRule="exact"/>
              <w:jc w:val="center"/>
              <w:rPr>
                <w:rFonts w:ascii="宋体" w:hAnsi="宋体" w:cs="宋体"/>
                <w:b/>
                <w:bCs/>
                <w:sz w:val="24"/>
              </w:rPr>
            </w:pPr>
            <w:r>
              <w:rPr>
                <w:rFonts w:hint="eastAsia" w:ascii="宋体" w:hAnsi="宋体" w:cs="宋体"/>
                <w:b/>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continue"/>
            <w:vAlign w:val="center"/>
          </w:tcPr>
          <w:p>
            <w:pPr>
              <w:spacing w:line="440" w:lineRule="exact"/>
              <w:rPr>
                <w:rFonts w:ascii="宋体" w:hAnsi="宋体" w:cs="宋体"/>
                <w:b/>
                <w:bCs/>
                <w:sz w:val="24"/>
              </w:rPr>
            </w:pPr>
          </w:p>
        </w:tc>
        <w:tc>
          <w:tcPr>
            <w:tcW w:w="8396" w:type="dxa"/>
            <w:gridSpan w:val="4"/>
          </w:tcPr>
          <w:p>
            <w:pPr>
              <w:wordWrap w:val="0"/>
              <w:spacing w:line="440" w:lineRule="exact"/>
              <w:rPr>
                <w:rFonts w:ascii="宋体" w:hAnsi="宋体" w:cs="宋体"/>
                <w:szCs w:val="21"/>
              </w:rPr>
            </w:pPr>
            <w:r>
              <w:rPr>
                <w:rFonts w:hint="eastAsia" w:ascii="宋体" w:hAnsi="宋体" w:cs="宋体"/>
                <w:szCs w:val="21"/>
              </w:rPr>
              <w:t>（1）以进入详评的最低的投标报价为10分。</w:t>
            </w:r>
          </w:p>
          <w:p>
            <w:pPr>
              <w:wordWrap w:val="0"/>
              <w:spacing w:line="440" w:lineRule="exact"/>
              <w:rPr>
                <w:rFonts w:ascii="宋体" w:hAnsi="宋体" w:cs="宋体"/>
                <w:szCs w:val="21"/>
              </w:rPr>
            </w:pPr>
            <w:r>
              <w:rPr>
                <w:rFonts w:hint="eastAsia" w:ascii="宋体" w:hAnsi="宋体" w:cs="宋体"/>
                <w:szCs w:val="21"/>
              </w:rPr>
              <w:t>（2）某投标人报价分 =投标人有效最低投标报价金额（元）/某投标人有效投标报价金额（元）  ×10分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restart"/>
          </w:tcPr>
          <w:p>
            <w:pPr>
              <w:wordWrap w:val="0"/>
              <w:spacing w:line="440" w:lineRule="exact"/>
              <w:jc w:val="center"/>
              <w:rPr>
                <w:rFonts w:ascii="宋体" w:hAnsi="宋体" w:cs="宋体"/>
                <w:b/>
                <w:bCs/>
                <w:sz w:val="24"/>
              </w:rPr>
            </w:pPr>
            <w:r>
              <w:rPr>
                <w:rFonts w:hint="eastAsia" w:ascii="宋体" w:hAnsi="宋体" w:cs="宋体"/>
                <w:b/>
                <w:bCs/>
              </w:rPr>
              <w:t>2</w:t>
            </w:r>
          </w:p>
        </w:tc>
        <w:tc>
          <w:tcPr>
            <w:tcW w:w="4243" w:type="dxa"/>
            <w:gridSpan w:val="3"/>
          </w:tcPr>
          <w:p>
            <w:pPr>
              <w:wordWrap w:val="0"/>
              <w:spacing w:line="440" w:lineRule="exact"/>
              <w:jc w:val="center"/>
              <w:rPr>
                <w:rFonts w:ascii="宋体" w:hAnsi="宋体" w:cs="宋体"/>
                <w:b/>
                <w:bCs/>
                <w:sz w:val="24"/>
              </w:rPr>
            </w:pPr>
            <w:r>
              <w:rPr>
                <w:rFonts w:hint="eastAsia" w:ascii="宋体" w:hAnsi="宋体" w:cs="宋体"/>
                <w:b/>
                <w:bCs/>
              </w:rPr>
              <w:t>技术部分</w:t>
            </w:r>
          </w:p>
        </w:tc>
        <w:tc>
          <w:tcPr>
            <w:tcW w:w="4153" w:type="dxa"/>
          </w:tcPr>
          <w:p>
            <w:pPr>
              <w:wordWrap w:val="0"/>
              <w:spacing w:line="440" w:lineRule="exact"/>
              <w:jc w:val="center"/>
              <w:rPr>
                <w:rFonts w:ascii="宋体" w:hAnsi="宋体" w:cs="宋体"/>
                <w:b/>
                <w:bCs/>
                <w:sz w:val="24"/>
                <w:lang w:val="en"/>
              </w:rPr>
            </w:pPr>
            <w:r>
              <w:rPr>
                <w:rFonts w:ascii="宋体" w:hAnsi="宋体" w:cs="宋体"/>
                <w:b/>
                <w:szCs w:val="21"/>
                <w:lang w:val="e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continue"/>
            <w:shd w:val="clear" w:color="auto" w:fill="E6EFFA"/>
            <w:vAlign w:val="center"/>
          </w:tcPr>
          <w:p>
            <w:pPr>
              <w:spacing w:line="440" w:lineRule="exact"/>
              <w:rPr>
                <w:rFonts w:ascii="宋体" w:hAnsi="宋体" w:cs="宋体"/>
                <w:b/>
                <w:bCs/>
                <w:sz w:val="24"/>
              </w:rPr>
            </w:pPr>
          </w:p>
        </w:tc>
        <w:tc>
          <w:tcPr>
            <w:tcW w:w="675" w:type="dxa"/>
            <w:shd w:val="clear" w:color="auto" w:fill="E6EFFA"/>
            <w:vAlign w:val="center"/>
          </w:tcPr>
          <w:p>
            <w:pPr>
              <w:wordWrap w:val="0"/>
              <w:spacing w:line="440" w:lineRule="exact"/>
              <w:jc w:val="center"/>
              <w:rPr>
                <w:rFonts w:ascii="宋体" w:hAnsi="宋体" w:cs="宋体"/>
                <w:szCs w:val="21"/>
              </w:rPr>
            </w:pPr>
            <w:r>
              <w:rPr>
                <w:rFonts w:hint="eastAsia" w:ascii="宋体" w:hAnsi="宋体" w:cs="宋体"/>
                <w:szCs w:val="21"/>
              </w:rPr>
              <w:t>序号</w:t>
            </w:r>
          </w:p>
        </w:tc>
        <w:tc>
          <w:tcPr>
            <w:tcW w:w="2792" w:type="dxa"/>
            <w:shd w:val="clear" w:color="auto" w:fill="E6EFFA"/>
            <w:vAlign w:val="center"/>
          </w:tcPr>
          <w:p>
            <w:pPr>
              <w:wordWrap w:val="0"/>
              <w:spacing w:line="440" w:lineRule="exact"/>
              <w:jc w:val="center"/>
              <w:rPr>
                <w:rFonts w:ascii="宋体" w:hAnsi="宋体" w:cs="宋体"/>
                <w:szCs w:val="21"/>
              </w:rPr>
            </w:pPr>
            <w:r>
              <w:rPr>
                <w:rFonts w:hint="eastAsia" w:ascii="宋体" w:hAnsi="宋体" w:cs="宋体"/>
                <w:szCs w:val="21"/>
              </w:rPr>
              <w:t>评分因素</w:t>
            </w:r>
          </w:p>
        </w:tc>
        <w:tc>
          <w:tcPr>
            <w:tcW w:w="776" w:type="dxa"/>
            <w:shd w:val="clear" w:color="auto" w:fill="E6EFFA"/>
            <w:vAlign w:val="center"/>
          </w:tcPr>
          <w:p>
            <w:pPr>
              <w:wordWrap w:val="0"/>
              <w:spacing w:line="440" w:lineRule="exact"/>
              <w:jc w:val="center"/>
              <w:rPr>
                <w:rFonts w:ascii="宋体" w:hAnsi="宋体" w:cs="宋体"/>
                <w:szCs w:val="21"/>
              </w:rPr>
            </w:pPr>
            <w:r>
              <w:rPr>
                <w:rFonts w:hint="eastAsia" w:ascii="宋体" w:hAnsi="宋体" w:cs="宋体"/>
                <w:szCs w:val="21"/>
              </w:rPr>
              <w:t>权重(%)</w:t>
            </w:r>
          </w:p>
        </w:tc>
        <w:tc>
          <w:tcPr>
            <w:tcW w:w="4153" w:type="dxa"/>
            <w:shd w:val="clear" w:color="auto" w:fill="E6EFFA"/>
            <w:vAlign w:val="center"/>
          </w:tcPr>
          <w:p>
            <w:pPr>
              <w:wordWrap w:val="0"/>
              <w:spacing w:line="440" w:lineRule="exact"/>
              <w:jc w:val="center"/>
              <w:rPr>
                <w:rFonts w:ascii="宋体" w:hAnsi="宋体" w:cs="宋体"/>
                <w:szCs w:val="21"/>
              </w:rPr>
            </w:pPr>
            <w:r>
              <w:rPr>
                <w:rFonts w:hint="eastAsia" w:ascii="宋体" w:hAnsi="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continue"/>
            <w:vAlign w:val="center"/>
          </w:tcPr>
          <w:p>
            <w:pPr>
              <w:spacing w:line="440" w:lineRule="exact"/>
              <w:rPr>
                <w:rFonts w:ascii="宋体" w:hAnsi="宋体" w:cs="宋体"/>
                <w:b/>
                <w:bCs/>
                <w:sz w:val="24"/>
              </w:rPr>
            </w:pPr>
          </w:p>
        </w:tc>
        <w:tc>
          <w:tcPr>
            <w:tcW w:w="675" w:type="dxa"/>
            <w:vAlign w:val="center"/>
          </w:tcPr>
          <w:p>
            <w:pPr>
              <w:wordWrap w:val="0"/>
              <w:spacing w:line="440" w:lineRule="exact"/>
              <w:jc w:val="center"/>
              <w:rPr>
                <w:rFonts w:ascii="宋体" w:hAnsi="宋体" w:cs="宋体"/>
                <w:szCs w:val="21"/>
              </w:rPr>
            </w:pPr>
            <w:r>
              <w:rPr>
                <w:rFonts w:hint="eastAsia" w:ascii="宋体" w:hAnsi="宋体" w:cs="宋体"/>
                <w:szCs w:val="21"/>
              </w:rPr>
              <w:t>1</w:t>
            </w:r>
          </w:p>
        </w:tc>
        <w:tc>
          <w:tcPr>
            <w:tcW w:w="2792" w:type="dxa"/>
            <w:vAlign w:val="center"/>
          </w:tcPr>
          <w:p>
            <w:pPr>
              <w:wordWrap w:val="0"/>
              <w:spacing w:line="440" w:lineRule="exact"/>
              <w:jc w:val="center"/>
              <w:rPr>
                <w:rFonts w:ascii="宋体" w:hAnsi="宋体" w:cs="宋体"/>
                <w:szCs w:val="21"/>
              </w:rPr>
            </w:pPr>
            <w:r>
              <w:rPr>
                <w:rFonts w:hint="eastAsia" w:ascii="宋体" w:hAnsi="宋体" w:cs="宋体"/>
                <w:szCs w:val="21"/>
              </w:rPr>
              <w:t>建设方案</w:t>
            </w:r>
          </w:p>
        </w:tc>
        <w:tc>
          <w:tcPr>
            <w:tcW w:w="776" w:type="dxa"/>
            <w:vAlign w:val="center"/>
          </w:tcPr>
          <w:p>
            <w:pPr>
              <w:wordWrap w:val="0"/>
              <w:spacing w:line="440" w:lineRule="exact"/>
              <w:jc w:val="center"/>
              <w:rPr>
                <w:rFonts w:ascii="宋体" w:hAnsi="宋体" w:cs="宋体"/>
                <w:szCs w:val="21"/>
              </w:rPr>
            </w:pPr>
            <w:r>
              <w:rPr>
                <w:rFonts w:ascii="宋体" w:hAnsi="宋体" w:cs="宋体"/>
                <w:szCs w:val="21"/>
              </w:rPr>
              <w:t>14</w:t>
            </w:r>
          </w:p>
        </w:tc>
        <w:tc>
          <w:tcPr>
            <w:tcW w:w="4153" w:type="dxa"/>
          </w:tcPr>
          <w:p>
            <w:pPr>
              <w:spacing w:line="440" w:lineRule="exact"/>
              <w:rPr>
                <w:rFonts w:ascii="宋体" w:hAnsi="宋体" w:cs="宋体"/>
                <w:szCs w:val="21"/>
              </w:rPr>
            </w:pPr>
            <w:r>
              <w:rPr>
                <w:rFonts w:hint="eastAsia" w:ascii="宋体" w:hAnsi="宋体" w:cs="宋体"/>
                <w:szCs w:val="21"/>
              </w:rPr>
              <w:t>投标人提供建设方案内容应包括但不限于：</w:t>
            </w:r>
          </w:p>
          <w:p>
            <w:pPr>
              <w:spacing w:line="440" w:lineRule="exact"/>
              <w:rPr>
                <w:rFonts w:ascii="宋体" w:hAnsi="宋体" w:cs="宋体"/>
                <w:szCs w:val="21"/>
              </w:rPr>
            </w:pPr>
            <w:r>
              <w:rPr>
                <w:rFonts w:hint="eastAsia" w:ascii="宋体" w:hAnsi="宋体" w:cs="宋体"/>
                <w:szCs w:val="21"/>
              </w:rPr>
              <w:t>（1）总体架构设计的方法和程序；</w:t>
            </w:r>
          </w:p>
          <w:p>
            <w:pPr>
              <w:spacing w:line="440" w:lineRule="exact"/>
              <w:rPr>
                <w:rFonts w:ascii="宋体" w:hAnsi="宋体" w:cs="宋体"/>
                <w:szCs w:val="21"/>
              </w:rPr>
            </w:pPr>
            <w:r>
              <w:rPr>
                <w:rFonts w:hint="eastAsia" w:ascii="宋体" w:hAnsi="宋体" w:cs="宋体"/>
                <w:szCs w:val="21"/>
              </w:rPr>
              <w:t>（2）应用系统建设的方法和程序；</w:t>
            </w:r>
          </w:p>
          <w:p>
            <w:pPr>
              <w:spacing w:line="440" w:lineRule="exact"/>
              <w:rPr>
                <w:rFonts w:ascii="宋体" w:hAnsi="宋体" w:cs="宋体"/>
                <w:szCs w:val="21"/>
              </w:rPr>
            </w:pPr>
            <w:r>
              <w:rPr>
                <w:rFonts w:hint="eastAsia" w:ascii="宋体" w:hAnsi="宋体" w:cs="宋体"/>
                <w:szCs w:val="21"/>
              </w:rPr>
              <w:t>（3）实施服务的方法和程序。</w:t>
            </w:r>
          </w:p>
          <w:p>
            <w:pPr>
              <w:spacing w:line="440" w:lineRule="exact"/>
              <w:rPr>
                <w:rFonts w:ascii="宋体" w:hAnsi="宋体" w:cs="宋体"/>
                <w:szCs w:val="21"/>
              </w:rPr>
            </w:pPr>
            <w:r>
              <w:rPr>
                <w:rFonts w:hint="eastAsia" w:ascii="宋体" w:hAnsi="宋体" w:cs="宋体"/>
                <w:szCs w:val="21"/>
              </w:rPr>
              <w:t>满足上述3点的，得</w:t>
            </w:r>
            <w:r>
              <w:rPr>
                <w:rFonts w:ascii="宋体" w:hAnsi="宋体" w:cs="宋体"/>
                <w:szCs w:val="21"/>
              </w:rPr>
              <w:t>8</w:t>
            </w:r>
            <w:r>
              <w:rPr>
                <w:rFonts w:hint="eastAsia" w:ascii="宋体" w:hAnsi="宋体" w:cs="宋体"/>
                <w:szCs w:val="21"/>
              </w:rPr>
              <w:t>分；</w:t>
            </w:r>
          </w:p>
          <w:p>
            <w:pPr>
              <w:spacing w:line="440" w:lineRule="exact"/>
              <w:rPr>
                <w:rFonts w:ascii="宋体" w:hAnsi="宋体" w:cs="宋体"/>
                <w:szCs w:val="21"/>
              </w:rPr>
            </w:pPr>
            <w:r>
              <w:rPr>
                <w:rFonts w:hint="eastAsia" w:ascii="宋体" w:hAnsi="宋体" w:cs="宋体"/>
                <w:szCs w:val="21"/>
              </w:rPr>
              <w:t>满足上述任意2点的，得</w:t>
            </w:r>
            <w:r>
              <w:rPr>
                <w:rFonts w:ascii="宋体" w:hAnsi="宋体" w:cs="宋体"/>
                <w:szCs w:val="21"/>
              </w:rPr>
              <w:t>5</w:t>
            </w:r>
            <w:r>
              <w:rPr>
                <w:rFonts w:hint="eastAsia" w:ascii="宋体" w:hAnsi="宋体" w:cs="宋体"/>
                <w:szCs w:val="21"/>
              </w:rPr>
              <w:t>分；</w:t>
            </w:r>
          </w:p>
          <w:p>
            <w:pPr>
              <w:spacing w:line="440" w:lineRule="exact"/>
              <w:rPr>
                <w:rFonts w:ascii="宋体" w:hAnsi="宋体" w:cs="宋体"/>
                <w:szCs w:val="21"/>
              </w:rPr>
            </w:pPr>
            <w:r>
              <w:rPr>
                <w:rFonts w:hint="eastAsia" w:ascii="宋体" w:hAnsi="宋体" w:cs="宋体"/>
                <w:szCs w:val="21"/>
              </w:rPr>
              <w:t>满足上述任意1点的，得2分；</w:t>
            </w:r>
          </w:p>
          <w:p>
            <w:pPr>
              <w:spacing w:line="440" w:lineRule="exact"/>
              <w:rPr>
                <w:rFonts w:ascii="宋体" w:hAnsi="宋体" w:cs="宋体"/>
                <w:szCs w:val="21"/>
              </w:rPr>
            </w:pPr>
            <w:r>
              <w:rPr>
                <w:rFonts w:hint="eastAsia" w:ascii="宋体" w:hAnsi="宋体" w:cs="宋体"/>
                <w:szCs w:val="21"/>
              </w:rPr>
              <w:t>其他情况不得分。</w:t>
            </w:r>
          </w:p>
          <w:p>
            <w:pPr>
              <w:spacing w:line="440" w:lineRule="exact"/>
              <w:rPr>
                <w:rFonts w:ascii="宋体" w:hAnsi="宋体" w:cs="宋体"/>
                <w:szCs w:val="21"/>
              </w:rPr>
            </w:pPr>
            <w:r>
              <w:rPr>
                <w:rFonts w:hint="eastAsia" w:ascii="宋体" w:hAnsi="宋体" w:cs="宋体"/>
                <w:szCs w:val="21"/>
              </w:rPr>
              <w:t>在此基础上，建设方案内容完整、详实、科学合理，可操作性强，针对性强，得</w:t>
            </w:r>
            <w:r>
              <w:rPr>
                <w:rFonts w:ascii="宋体" w:hAnsi="宋体" w:cs="宋体"/>
                <w:szCs w:val="21"/>
              </w:rPr>
              <w:t>6</w:t>
            </w:r>
            <w:r>
              <w:rPr>
                <w:rFonts w:hint="eastAsia" w:ascii="宋体" w:hAnsi="宋体" w:cs="宋体"/>
                <w:szCs w:val="21"/>
              </w:rPr>
              <w:t>分；</w:t>
            </w:r>
          </w:p>
          <w:p>
            <w:pPr>
              <w:spacing w:line="440" w:lineRule="exact"/>
              <w:rPr>
                <w:rFonts w:ascii="宋体" w:hAnsi="宋体" w:cs="宋体"/>
                <w:szCs w:val="21"/>
              </w:rPr>
            </w:pPr>
            <w:r>
              <w:rPr>
                <w:rFonts w:hint="eastAsia" w:ascii="宋体" w:hAnsi="宋体" w:cs="宋体"/>
                <w:szCs w:val="21"/>
              </w:rPr>
              <w:t>建设方案内容较完整、详实、科学合理，可操作性较强，针对性较强，得3分；</w:t>
            </w:r>
          </w:p>
          <w:p>
            <w:pPr>
              <w:spacing w:line="440" w:lineRule="exact"/>
              <w:rPr>
                <w:rFonts w:ascii="宋体" w:hAnsi="宋体" w:cs="宋体"/>
                <w:szCs w:val="21"/>
              </w:rPr>
            </w:pPr>
            <w:r>
              <w:rPr>
                <w:rFonts w:hint="eastAsia" w:ascii="宋体" w:hAnsi="宋体" w:cs="宋体"/>
                <w:szCs w:val="21"/>
              </w:rPr>
              <w:t>建设方案内容完整度一般，科学合理性一般，可操作性一般，针对性一般，得1分。其他情况不得分。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continue"/>
            <w:vAlign w:val="center"/>
          </w:tcPr>
          <w:p>
            <w:pPr>
              <w:spacing w:line="440" w:lineRule="exact"/>
              <w:rPr>
                <w:rFonts w:ascii="宋体" w:hAnsi="宋体" w:cs="宋体"/>
                <w:b/>
                <w:bCs/>
                <w:sz w:val="24"/>
              </w:rPr>
            </w:pPr>
          </w:p>
        </w:tc>
        <w:tc>
          <w:tcPr>
            <w:tcW w:w="675" w:type="dxa"/>
            <w:vAlign w:val="center"/>
          </w:tcPr>
          <w:p>
            <w:pPr>
              <w:wordWrap w:val="0"/>
              <w:spacing w:line="440" w:lineRule="exact"/>
              <w:jc w:val="center"/>
              <w:rPr>
                <w:rFonts w:ascii="宋体" w:hAnsi="宋体" w:cs="宋体"/>
                <w:szCs w:val="21"/>
              </w:rPr>
            </w:pPr>
            <w:r>
              <w:rPr>
                <w:rFonts w:hint="eastAsia" w:ascii="宋体" w:hAnsi="宋体" w:cs="宋体"/>
                <w:szCs w:val="21"/>
              </w:rPr>
              <w:t>2</w:t>
            </w:r>
          </w:p>
        </w:tc>
        <w:tc>
          <w:tcPr>
            <w:tcW w:w="2792" w:type="dxa"/>
            <w:vAlign w:val="center"/>
          </w:tcPr>
          <w:p>
            <w:pPr>
              <w:wordWrap w:val="0"/>
              <w:spacing w:line="440" w:lineRule="exact"/>
              <w:jc w:val="center"/>
              <w:rPr>
                <w:rFonts w:ascii="宋体" w:hAnsi="宋体" w:cs="宋体"/>
                <w:szCs w:val="21"/>
              </w:rPr>
            </w:pPr>
            <w:r>
              <w:rPr>
                <w:rFonts w:hint="eastAsia" w:ascii="宋体" w:hAnsi="宋体" w:cs="宋体"/>
                <w:szCs w:val="21"/>
              </w:rPr>
              <w:t>项目重点难点分析、应对措施及相关的合理化建议</w:t>
            </w:r>
          </w:p>
        </w:tc>
        <w:tc>
          <w:tcPr>
            <w:tcW w:w="776" w:type="dxa"/>
            <w:vAlign w:val="center"/>
          </w:tcPr>
          <w:p>
            <w:pPr>
              <w:wordWrap w:val="0"/>
              <w:spacing w:line="440" w:lineRule="exact"/>
              <w:jc w:val="center"/>
              <w:rPr>
                <w:rFonts w:ascii="宋体" w:hAnsi="宋体" w:cs="宋体"/>
                <w:szCs w:val="21"/>
              </w:rPr>
            </w:pPr>
            <w:r>
              <w:rPr>
                <w:rFonts w:ascii="宋体" w:hAnsi="宋体" w:cs="宋体"/>
                <w:szCs w:val="21"/>
              </w:rPr>
              <w:t>8</w:t>
            </w:r>
          </w:p>
        </w:tc>
        <w:tc>
          <w:tcPr>
            <w:tcW w:w="4153" w:type="dxa"/>
            <w:vAlign w:val="center"/>
          </w:tcPr>
          <w:p>
            <w:pPr>
              <w:spacing w:line="440" w:lineRule="exact"/>
              <w:rPr>
                <w:rFonts w:ascii="宋体" w:hAnsi="宋体" w:cs="宋体"/>
                <w:szCs w:val="21"/>
              </w:rPr>
            </w:pPr>
            <w:r>
              <w:rPr>
                <w:rFonts w:hint="eastAsia" w:ascii="宋体" w:hAnsi="宋体" w:cs="宋体"/>
                <w:szCs w:val="21"/>
              </w:rPr>
              <w:t>投标人应提供的内容包括但不限于：</w:t>
            </w:r>
          </w:p>
          <w:p>
            <w:pPr>
              <w:spacing w:line="440" w:lineRule="exact"/>
              <w:rPr>
                <w:rFonts w:ascii="宋体" w:hAnsi="宋体" w:cs="宋体"/>
                <w:szCs w:val="21"/>
              </w:rPr>
            </w:pPr>
            <w:r>
              <w:rPr>
                <w:rFonts w:hint="eastAsia" w:ascii="宋体" w:hAnsi="宋体" w:cs="宋体"/>
                <w:szCs w:val="21"/>
              </w:rPr>
              <w:t>（1）对项目建设背景、内容及目标的理解；</w:t>
            </w:r>
          </w:p>
          <w:p>
            <w:pPr>
              <w:spacing w:line="440" w:lineRule="exact"/>
              <w:rPr>
                <w:rFonts w:ascii="宋体" w:hAnsi="宋体" w:cs="宋体"/>
                <w:szCs w:val="21"/>
              </w:rPr>
            </w:pPr>
            <w:r>
              <w:rPr>
                <w:rFonts w:hint="eastAsia" w:ascii="宋体" w:hAnsi="宋体" w:cs="宋体"/>
                <w:szCs w:val="21"/>
              </w:rPr>
              <w:t>（2）对项目重点难点的分析；</w:t>
            </w:r>
          </w:p>
          <w:p>
            <w:pPr>
              <w:spacing w:line="440" w:lineRule="exact"/>
              <w:rPr>
                <w:rFonts w:ascii="宋体" w:hAnsi="宋体" w:cs="宋体"/>
                <w:szCs w:val="21"/>
              </w:rPr>
            </w:pPr>
            <w:r>
              <w:rPr>
                <w:rFonts w:hint="eastAsia" w:ascii="宋体" w:hAnsi="宋体" w:cs="宋体"/>
                <w:szCs w:val="21"/>
              </w:rPr>
              <w:t>（3）提出应对措施及合理化建议。</w:t>
            </w:r>
          </w:p>
          <w:p>
            <w:pPr>
              <w:spacing w:line="440" w:lineRule="exact"/>
              <w:rPr>
                <w:rFonts w:ascii="宋体" w:hAnsi="宋体" w:cs="宋体"/>
                <w:szCs w:val="21"/>
              </w:rPr>
            </w:pPr>
            <w:r>
              <w:rPr>
                <w:rFonts w:hint="eastAsia" w:ascii="宋体" w:hAnsi="宋体" w:cs="宋体"/>
                <w:szCs w:val="21"/>
              </w:rPr>
              <w:t>满足上述3点的，得</w:t>
            </w:r>
            <w:r>
              <w:rPr>
                <w:rFonts w:ascii="宋体" w:hAnsi="宋体" w:cs="宋体"/>
                <w:szCs w:val="21"/>
              </w:rPr>
              <w:t>5</w:t>
            </w:r>
            <w:r>
              <w:rPr>
                <w:rFonts w:hint="eastAsia" w:ascii="宋体" w:hAnsi="宋体" w:cs="宋体"/>
                <w:szCs w:val="21"/>
              </w:rPr>
              <w:t>分；</w:t>
            </w:r>
          </w:p>
          <w:p>
            <w:pPr>
              <w:spacing w:line="440" w:lineRule="exact"/>
              <w:rPr>
                <w:rFonts w:ascii="宋体" w:hAnsi="宋体" w:cs="宋体"/>
                <w:szCs w:val="21"/>
              </w:rPr>
            </w:pPr>
            <w:r>
              <w:rPr>
                <w:rFonts w:hint="eastAsia" w:ascii="宋体" w:hAnsi="宋体" w:cs="宋体"/>
                <w:szCs w:val="21"/>
              </w:rPr>
              <w:t>满足上述任意2点的，得</w:t>
            </w:r>
            <w:r>
              <w:rPr>
                <w:rFonts w:ascii="宋体" w:hAnsi="宋体" w:cs="宋体"/>
                <w:szCs w:val="21"/>
              </w:rPr>
              <w:t>3</w:t>
            </w:r>
            <w:r>
              <w:rPr>
                <w:rFonts w:hint="eastAsia" w:ascii="宋体" w:hAnsi="宋体" w:cs="宋体"/>
                <w:szCs w:val="21"/>
              </w:rPr>
              <w:t>分；</w:t>
            </w:r>
          </w:p>
          <w:p>
            <w:pPr>
              <w:spacing w:line="440" w:lineRule="exact"/>
              <w:rPr>
                <w:rFonts w:ascii="宋体" w:hAnsi="宋体" w:cs="宋体"/>
                <w:szCs w:val="21"/>
              </w:rPr>
            </w:pPr>
            <w:r>
              <w:rPr>
                <w:rFonts w:hint="eastAsia" w:ascii="宋体" w:hAnsi="宋体" w:cs="宋体"/>
                <w:szCs w:val="21"/>
              </w:rPr>
              <w:t>满足上述任意1点的，得</w:t>
            </w:r>
            <w:r>
              <w:rPr>
                <w:rFonts w:ascii="宋体" w:hAnsi="宋体" w:cs="宋体"/>
                <w:szCs w:val="21"/>
              </w:rPr>
              <w:t>1</w:t>
            </w:r>
            <w:r>
              <w:rPr>
                <w:rFonts w:hint="eastAsia" w:ascii="宋体" w:hAnsi="宋体" w:cs="宋体"/>
                <w:szCs w:val="21"/>
              </w:rPr>
              <w:t>分；</w:t>
            </w:r>
          </w:p>
          <w:p>
            <w:pPr>
              <w:spacing w:line="440" w:lineRule="exact"/>
              <w:rPr>
                <w:rFonts w:ascii="宋体" w:hAnsi="宋体" w:cs="宋体"/>
                <w:szCs w:val="21"/>
              </w:rPr>
            </w:pPr>
            <w:r>
              <w:rPr>
                <w:rFonts w:hint="eastAsia" w:ascii="宋体" w:hAnsi="宋体" w:cs="宋体"/>
                <w:szCs w:val="21"/>
              </w:rPr>
              <w:t>其他情况不得分。</w:t>
            </w:r>
          </w:p>
          <w:p>
            <w:pPr>
              <w:spacing w:line="440" w:lineRule="exact"/>
              <w:rPr>
                <w:rFonts w:ascii="宋体" w:hAnsi="宋体" w:cs="宋体"/>
                <w:szCs w:val="21"/>
              </w:rPr>
            </w:pPr>
            <w:r>
              <w:rPr>
                <w:rFonts w:hint="eastAsia" w:ascii="宋体" w:hAnsi="宋体" w:cs="宋体"/>
                <w:szCs w:val="21"/>
              </w:rPr>
              <w:t>在此基础上，上述内容理解到位，分析科学合理，合理化建议针对性及可操作性强，得</w:t>
            </w:r>
            <w:r>
              <w:rPr>
                <w:rFonts w:ascii="宋体" w:hAnsi="宋体" w:cs="宋体"/>
                <w:szCs w:val="21"/>
              </w:rPr>
              <w:t>3</w:t>
            </w:r>
            <w:r>
              <w:rPr>
                <w:rFonts w:hint="eastAsia" w:ascii="宋体" w:hAnsi="宋体" w:cs="宋体"/>
                <w:szCs w:val="21"/>
              </w:rPr>
              <w:t>分；</w:t>
            </w:r>
          </w:p>
          <w:p>
            <w:pPr>
              <w:spacing w:line="440" w:lineRule="exact"/>
              <w:rPr>
                <w:rFonts w:ascii="宋体" w:hAnsi="宋体" w:cs="宋体"/>
                <w:szCs w:val="21"/>
              </w:rPr>
            </w:pPr>
            <w:r>
              <w:rPr>
                <w:rFonts w:hint="eastAsia" w:ascii="宋体" w:hAnsi="宋体" w:cs="宋体"/>
                <w:szCs w:val="21"/>
              </w:rPr>
              <w:t>理解较为到位，分析科学较合理，合理化建议针对性及可操作性较强，得</w:t>
            </w:r>
            <w:r>
              <w:rPr>
                <w:rFonts w:ascii="宋体" w:hAnsi="宋体" w:cs="宋体"/>
                <w:szCs w:val="21"/>
              </w:rPr>
              <w:t>2</w:t>
            </w:r>
            <w:r>
              <w:rPr>
                <w:rFonts w:hint="eastAsia" w:ascii="宋体" w:hAnsi="宋体" w:cs="宋体"/>
                <w:szCs w:val="21"/>
              </w:rPr>
              <w:t>分；</w:t>
            </w:r>
          </w:p>
          <w:p>
            <w:pPr>
              <w:wordWrap w:val="0"/>
              <w:spacing w:line="440" w:lineRule="exact"/>
              <w:rPr>
                <w:rFonts w:ascii="宋体" w:hAnsi="宋体" w:cs="宋体"/>
                <w:szCs w:val="21"/>
              </w:rPr>
            </w:pPr>
            <w:r>
              <w:rPr>
                <w:rFonts w:hint="eastAsia" w:ascii="宋体" w:hAnsi="宋体" w:cs="宋体"/>
                <w:szCs w:val="21"/>
              </w:rPr>
              <w:t>理解程度一般，科学合理性一般，可操作性一般，针对性一般，得1分。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continue"/>
            <w:vAlign w:val="center"/>
          </w:tcPr>
          <w:p>
            <w:pPr>
              <w:spacing w:line="440" w:lineRule="exact"/>
              <w:rPr>
                <w:rFonts w:ascii="宋体" w:hAnsi="宋体" w:cs="宋体"/>
                <w:b/>
                <w:bCs/>
                <w:sz w:val="24"/>
              </w:rPr>
            </w:pPr>
          </w:p>
        </w:tc>
        <w:tc>
          <w:tcPr>
            <w:tcW w:w="675" w:type="dxa"/>
            <w:vAlign w:val="center"/>
          </w:tcPr>
          <w:p>
            <w:pPr>
              <w:wordWrap w:val="0"/>
              <w:spacing w:line="440" w:lineRule="exact"/>
              <w:jc w:val="center"/>
              <w:rPr>
                <w:rFonts w:ascii="宋体" w:hAnsi="宋体" w:cs="宋体"/>
                <w:szCs w:val="21"/>
              </w:rPr>
            </w:pPr>
            <w:r>
              <w:rPr>
                <w:rFonts w:hint="eastAsia" w:ascii="宋体" w:hAnsi="宋体" w:cs="宋体"/>
                <w:szCs w:val="21"/>
              </w:rPr>
              <w:t>3</w:t>
            </w:r>
          </w:p>
        </w:tc>
        <w:tc>
          <w:tcPr>
            <w:tcW w:w="2792" w:type="dxa"/>
            <w:vAlign w:val="center"/>
          </w:tcPr>
          <w:p>
            <w:pPr>
              <w:wordWrap w:val="0"/>
              <w:spacing w:line="440" w:lineRule="exact"/>
              <w:jc w:val="center"/>
              <w:rPr>
                <w:rFonts w:ascii="宋体" w:hAnsi="宋体" w:cs="宋体"/>
                <w:szCs w:val="21"/>
              </w:rPr>
            </w:pPr>
            <w:r>
              <w:rPr>
                <w:rFonts w:hint="eastAsia" w:ascii="宋体" w:hAnsi="宋体" w:cs="宋体"/>
                <w:szCs w:val="21"/>
              </w:rPr>
              <w:t>售后服务及培训方案</w:t>
            </w:r>
          </w:p>
        </w:tc>
        <w:tc>
          <w:tcPr>
            <w:tcW w:w="776" w:type="dxa"/>
            <w:vAlign w:val="center"/>
          </w:tcPr>
          <w:p>
            <w:pPr>
              <w:wordWrap w:val="0"/>
              <w:spacing w:line="440" w:lineRule="exact"/>
              <w:jc w:val="center"/>
              <w:rPr>
                <w:rFonts w:ascii="宋体" w:hAnsi="宋体" w:cs="宋体"/>
                <w:szCs w:val="21"/>
                <w:lang w:val="en"/>
              </w:rPr>
            </w:pPr>
            <w:r>
              <w:rPr>
                <w:rFonts w:ascii="宋体" w:hAnsi="宋体" w:cs="宋体"/>
                <w:szCs w:val="21"/>
                <w:lang w:val="en"/>
              </w:rPr>
              <w:t>10</w:t>
            </w:r>
          </w:p>
        </w:tc>
        <w:tc>
          <w:tcPr>
            <w:tcW w:w="4153" w:type="dxa"/>
            <w:vAlign w:val="center"/>
          </w:tcPr>
          <w:p>
            <w:pPr>
              <w:spacing w:line="440" w:lineRule="exact"/>
              <w:rPr>
                <w:rFonts w:ascii="宋体" w:hAnsi="宋体" w:cs="宋体"/>
                <w:szCs w:val="21"/>
              </w:rPr>
            </w:pPr>
            <w:r>
              <w:rPr>
                <w:rFonts w:hint="eastAsia" w:ascii="宋体" w:hAnsi="宋体" w:cs="宋体"/>
                <w:szCs w:val="21"/>
              </w:rPr>
              <w:t>投标人提供售后服务及培训方案内容应包括但不限于：</w:t>
            </w:r>
          </w:p>
          <w:p>
            <w:pPr>
              <w:spacing w:line="440" w:lineRule="exact"/>
              <w:rPr>
                <w:rFonts w:ascii="宋体" w:hAnsi="宋体" w:cs="宋体"/>
                <w:szCs w:val="21"/>
              </w:rPr>
            </w:pPr>
            <w:r>
              <w:rPr>
                <w:rFonts w:hint="eastAsia" w:ascii="宋体" w:hAnsi="宋体" w:cs="宋体"/>
                <w:szCs w:val="21"/>
              </w:rPr>
              <w:t>（1）售后服务的标准、方法和程序；</w:t>
            </w:r>
          </w:p>
          <w:p>
            <w:pPr>
              <w:spacing w:line="440" w:lineRule="exact"/>
              <w:rPr>
                <w:rFonts w:ascii="宋体" w:hAnsi="宋体" w:cs="宋体"/>
                <w:szCs w:val="21"/>
              </w:rPr>
            </w:pPr>
            <w:r>
              <w:rPr>
                <w:rFonts w:hint="eastAsia" w:ascii="宋体" w:hAnsi="宋体" w:cs="宋体"/>
                <w:szCs w:val="21"/>
              </w:rPr>
              <w:t>（2）培训的内容、方法和程序。</w:t>
            </w:r>
          </w:p>
          <w:p>
            <w:pPr>
              <w:spacing w:line="440" w:lineRule="exact"/>
              <w:rPr>
                <w:rFonts w:ascii="宋体" w:hAnsi="宋体" w:cs="宋体"/>
                <w:szCs w:val="21"/>
              </w:rPr>
            </w:pPr>
            <w:r>
              <w:rPr>
                <w:rFonts w:hint="eastAsia" w:ascii="宋体" w:hAnsi="宋体" w:cs="宋体"/>
                <w:szCs w:val="21"/>
              </w:rPr>
              <w:t>满足上述</w:t>
            </w:r>
            <w:r>
              <w:rPr>
                <w:rFonts w:ascii="宋体" w:hAnsi="宋体" w:cs="宋体"/>
                <w:szCs w:val="21"/>
              </w:rPr>
              <w:t>2</w:t>
            </w:r>
            <w:r>
              <w:rPr>
                <w:rFonts w:hint="eastAsia" w:ascii="宋体" w:hAnsi="宋体" w:cs="宋体"/>
                <w:szCs w:val="21"/>
              </w:rPr>
              <w:t>点的，得</w:t>
            </w:r>
            <w:r>
              <w:rPr>
                <w:rFonts w:ascii="宋体" w:hAnsi="宋体" w:cs="宋体"/>
                <w:szCs w:val="21"/>
              </w:rPr>
              <w:t>7</w:t>
            </w:r>
            <w:r>
              <w:rPr>
                <w:rFonts w:hint="eastAsia" w:ascii="宋体" w:hAnsi="宋体" w:cs="宋体"/>
                <w:szCs w:val="21"/>
              </w:rPr>
              <w:t>分；</w:t>
            </w:r>
          </w:p>
          <w:p>
            <w:pPr>
              <w:spacing w:line="440" w:lineRule="exact"/>
              <w:rPr>
                <w:rFonts w:ascii="宋体" w:hAnsi="宋体" w:cs="宋体"/>
                <w:szCs w:val="21"/>
              </w:rPr>
            </w:pPr>
            <w:r>
              <w:rPr>
                <w:rFonts w:hint="eastAsia" w:ascii="宋体" w:hAnsi="宋体" w:cs="宋体"/>
                <w:szCs w:val="21"/>
              </w:rPr>
              <w:t>满足上述任意1点的，得</w:t>
            </w:r>
            <w:r>
              <w:rPr>
                <w:rFonts w:ascii="宋体" w:hAnsi="宋体" w:cs="宋体"/>
                <w:szCs w:val="21"/>
              </w:rPr>
              <w:t>3</w:t>
            </w:r>
            <w:r>
              <w:rPr>
                <w:rFonts w:hint="eastAsia" w:ascii="宋体" w:hAnsi="宋体" w:cs="宋体"/>
                <w:szCs w:val="21"/>
              </w:rPr>
              <w:t>分；</w:t>
            </w:r>
          </w:p>
          <w:p>
            <w:pPr>
              <w:spacing w:line="440" w:lineRule="exact"/>
              <w:rPr>
                <w:rFonts w:ascii="宋体" w:hAnsi="宋体" w:cs="宋体"/>
                <w:szCs w:val="21"/>
              </w:rPr>
            </w:pPr>
            <w:r>
              <w:rPr>
                <w:rFonts w:hint="eastAsia" w:ascii="宋体" w:hAnsi="宋体" w:cs="宋体"/>
                <w:szCs w:val="21"/>
              </w:rPr>
              <w:t>其他情况不得分。</w:t>
            </w:r>
          </w:p>
          <w:p>
            <w:pPr>
              <w:spacing w:line="440" w:lineRule="exact"/>
              <w:rPr>
                <w:rFonts w:ascii="宋体" w:hAnsi="宋体" w:cs="宋体"/>
                <w:szCs w:val="21"/>
              </w:rPr>
            </w:pPr>
            <w:r>
              <w:rPr>
                <w:rFonts w:hint="eastAsia" w:ascii="宋体" w:hAnsi="宋体" w:cs="宋体"/>
                <w:szCs w:val="21"/>
              </w:rPr>
              <w:t>在此基础上，售后服务及培训方案的内容完整、详实、科学合理，服务标准高，培训内容全面，可操作性强，针对性强，得</w:t>
            </w:r>
            <w:r>
              <w:rPr>
                <w:rFonts w:ascii="宋体" w:hAnsi="宋体" w:cs="宋体"/>
                <w:szCs w:val="21"/>
                <w:lang w:val="en"/>
              </w:rPr>
              <w:t>3</w:t>
            </w:r>
            <w:r>
              <w:rPr>
                <w:rFonts w:hint="eastAsia" w:ascii="宋体" w:hAnsi="宋体" w:cs="宋体"/>
                <w:szCs w:val="21"/>
              </w:rPr>
              <w:t>分；</w:t>
            </w:r>
          </w:p>
          <w:p>
            <w:pPr>
              <w:spacing w:line="440" w:lineRule="exact"/>
              <w:rPr>
                <w:rFonts w:ascii="宋体" w:hAnsi="宋体" w:cs="宋体"/>
                <w:szCs w:val="21"/>
              </w:rPr>
            </w:pPr>
            <w:r>
              <w:rPr>
                <w:rFonts w:hint="eastAsia" w:ascii="宋体" w:hAnsi="宋体" w:cs="宋体"/>
                <w:szCs w:val="21"/>
              </w:rPr>
              <w:t>售后服务及培训方案的内容较完整、详实、科学合理，服务标准较高，培训内容较全面，可操作性较强，针对性较强，得</w:t>
            </w:r>
            <w:r>
              <w:rPr>
                <w:rFonts w:ascii="宋体" w:hAnsi="宋体" w:cs="宋体"/>
                <w:szCs w:val="21"/>
                <w:lang w:val="en"/>
              </w:rPr>
              <w:t>2</w:t>
            </w:r>
            <w:r>
              <w:rPr>
                <w:rFonts w:hint="eastAsia" w:ascii="宋体" w:hAnsi="宋体" w:cs="宋体"/>
                <w:szCs w:val="21"/>
              </w:rPr>
              <w:t>分；</w:t>
            </w:r>
          </w:p>
          <w:p>
            <w:pPr>
              <w:spacing w:line="440" w:lineRule="exact"/>
              <w:rPr>
                <w:rFonts w:ascii="宋体" w:hAnsi="宋体" w:cs="宋体"/>
                <w:szCs w:val="21"/>
              </w:rPr>
            </w:pPr>
            <w:r>
              <w:rPr>
                <w:rFonts w:hint="eastAsia" w:ascii="宋体" w:hAnsi="宋体" w:cs="宋体"/>
                <w:szCs w:val="21"/>
              </w:rPr>
              <w:t>建设方案内容完整度一般，科学合理性一般，可操作性一般，针对性一般，得1分；其他情况不得分。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continue"/>
            <w:vAlign w:val="center"/>
          </w:tcPr>
          <w:p>
            <w:pPr>
              <w:spacing w:line="440" w:lineRule="exact"/>
              <w:rPr>
                <w:rFonts w:ascii="宋体" w:hAnsi="宋体" w:cs="宋体"/>
                <w:b/>
                <w:bCs/>
                <w:sz w:val="24"/>
              </w:rPr>
            </w:pPr>
          </w:p>
        </w:tc>
        <w:tc>
          <w:tcPr>
            <w:tcW w:w="675" w:type="dxa"/>
            <w:vAlign w:val="center"/>
          </w:tcPr>
          <w:p>
            <w:pPr>
              <w:wordWrap w:val="0"/>
              <w:spacing w:line="440" w:lineRule="exact"/>
              <w:jc w:val="center"/>
              <w:rPr>
                <w:rFonts w:ascii="宋体" w:hAnsi="宋体" w:cs="宋体"/>
                <w:szCs w:val="21"/>
              </w:rPr>
            </w:pPr>
            <w:r>
              <w:rPr>
                <w:rFonts w:hint="eastAsia" w:ascii="宋体" w:hAnsi="宋体" w:cs="宋体"/>
                <w:szCs w:val="21"/>
              </w:rPr>
              <w:t>4</w:t>
            </w:r>
          </w:p>
        </w:tc>
        <w:tc>
          <w:tcPr>
            <w:tcW w:w="2792" w:type="dxa"/>
            <w:vAlign w:val="center"/>
          </w:tcPr>
          <w:p>
            <w:pPr>
              <w:wordWrap w:val="0"/>
              <w:spacing w:line="440" w:lineRule="exact"/>
              <w:jc w:val="center"/>
              <w:rPr>
                <w:rFonts w:ascii="宋体" w:hAnsi="宋体" w:cs="宋体"/>
                <w:szCs w:val="21"/>
              </w:rPr>
            </w:pPr>
            <w:r>
              <w:rPr>
                <w:rFonts w:hint="eastAsia" w:ascii="宋体" w:hAnsi="宋体" w:cs="宋体"/>
                <w:szCs w:val="21"/>
              </w:rPr>
              <w:t>项目完成（服务期满）后的服务承诺</w:t>
            </w:r>
          </w:p>
        </w:tc>
        <w:tc>
          <w:tcPr>
            <w:tcW w:w="776" w:type="dxa"/>
            <w:vAlign w:val="center"/>
          </w:tcPr>
          <w:p>
            <w:pPr>
              <w:wordWrap w:val="0"/>
              <w:spacing w:line="440" w:lineRule="exact"/>
              <w:jc w:val="center"/>
              <w:rPr>
                <w:rFonts w:ascii="宋体" w:hAnsi="宋体" w:cs="宋体"/>
                <w:szCs w:val="21"/>
              </w:rPr>
            </w:pPr>
            <w:r>
              <w:rPr>
                <w:rFonts w:ascii="宋体" w:hAnsi="宋体" w:cs="宋体"/>
                <w:szCs w:val="21"/>
              </w:rPr>
              <w:t>3</w:t>
            </w:r>
          </w:p>
        </w:tc>
        <w:tc>
          <w:tcPr>
            <w:tcW w:w="4153" w:type="dxa"/>
          </w:tcPr>
          <w:p>
            <w:pPr>
              <w:widowControl/>
              <w:spacing w:line="440" w:lineRule="exact"/>
              <w:jc w:val="left"/>
              <w:rPr>
                <w:rFonts w:ascii="宋体" w:hAnsi="宋体" w:cs="宋体"/>
                <w:szCs w:val="21"/>
              </w:rPr>
            </w:pPr>
            <w:r>
              <w:rPr>
                <w:rFonts w:hint="eastAsia" w:ascii="宋体" w:hAnsi="宋体" w:cs="宋体"/>
                <w:szCs w:val="21"/>
              </w:rPr>
              <w:t>投标人承诺以下全部三项的得</w:t>
            </w:r>
            <w:r>
              <w:rPr>
                <w:rFonts w:ascii="宋体" w:hAnsi="宋体" w:cs="宋体"/>
                <w:szCs w:val="21"/>
              </w:rPr>
              <w:t>3</w:t>
            </w:r>
            <w:r>
              <w:rPr>
                <w:rFonts w:hint="eastAsia" w:ascii="宋体" w:hAnsi="宋体" w:cs="宋体"/>
                <w:szCs w:val="21"/>
              </w:rPr>
              <w:t>分，否则不得分。</w:t>
            </w:r>
          </w:p>
          <w:p>
            <w:pPr>
              <w:widowControl/>
              <w:spacing w:line="440" w:lineRule="exact"/>
              <w:jc w:val="left"/>
              <w:rPr>
                <w:rFonts w:ascii="宋体" w:hAnsi="宋体" w:cs="宋体"/>
                <w:szCs w:val="21"/>
              </w:rPr>
            </w:pPr>
            <w:r>
              <w:rPr>
                <w:rFonts w:hint="eastAsia" w:ascii="宋体" w:hAnsi="宋体" w:cs="宋体"/>
                <w:szCs w:val="21"/>
              </w:rPr>
              <w:t xml:space="preserve">（1）服务期满后主动离岗； </w:t>
            </w:r>
          </w:p>
          <w:p>
            <w:pPr>
              <w:widowControl/>
              <w:spacing w:line="440" w:lineRule="exact"/>
              <w:jc w:val="left"/>
              <w:rPr>
                <w:rFonts w:ascii="宋体" w:hAnsi="宋体" w:cs="宋体"/>
                <w:szCs w:val="21"/>
              </w:rPr>
            </w:pPr>
            <w:r>
              <w:rPr>
                <w:rFonts w:hint="eastAsia" w:ascii="宋体" w:hAnsi="宋体" w:cs="宋体"/>
                <w:szCs w:val="21"/>
              </w:rPr>
              <w:t xml:space="preserve">（2）与后续服务公司进行交接； </w:t>
            </w:r>
          </w:p>
          <w:p>
            <w:pPr>
              <w:spacing w:line="440" w:lineRule="exact"/>
              <w:jc w:val="left"/>
              <w:rPr>
                <w:rFonts w:ascii="宋体" w:hAnsi="宋体" w:cs="宋体"/>
                <w:szCs w:val="21"/>
              </w:rPr>
            </w:pPr>
            <w:r>
              <w:rPr>
                <w:rFonts w:hint="eastAsia" w:ascii="宋体" w:hAnsi="宋体" w:cs="宋体"/>
                <w:szCs w:val="21"/>
              </w:rPr>
              <w:t>（3）服务期满，后续服务公司未到位前仍按原合同服务承诺提供服务。</w:t>
            </w:r>
          </w:p>
          <w:p>
            <w:pPr>
              <w:spacing w:line="440" w:lineRule="exact"/>
              <w:jc w:val="left"/>
              <w:rPr>
                <w:rFonts w:ascii="宋体" w:hAnsi="宋体" w:cs="宋体"/>
                <w:szCs w:val="21"/>
              </w:rPr>
            </w:pPr>
            <w:r>
              <w:rPr>
                <w:rFonts w:hint="eastAsia" w:ascii="宋体" w:hAnsi="宋体" w:cs="宋体"/>
                <w:szCs w:val="21"/>
              </w:rPr>
              <w:t>要求提供承诺（格式自定）作为得分依据，未提供承诺或承诺内容不满足要求不得分。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continue"/>
            <w:vAlign w:val="center"/>
          </w:tcPr>
          <w:p>
            <w:pPr>
              <w:spacing w:line="440" w:lineRule="exact"/>
              <w:rPr>
                <w:rFonts w:ascii="宋体" w:hAnsi="宋体" w:cs="宋体"/>
                <w:b/>
                <w:bCs/>
                <w:sz w:val="24"/>
              </w:rPr>
            </w:pPr>
          </w:p>
        </w:tc>
        <w:tc>
          <w:tcPr>
            <w:tcW w:w="675" w:type="dxa"/>
            <w:vAlign w:val="center"/>
          </w:tcPr>
          <w:p>
            <w:pPr>
              <w:wordWrap w:val="0"/>
              <w:spacing w:line="440" w:lineRule="exact"/>
              <w:jc w:val="center"/>
              <w:rPr>
                <w:rFonts w:ascii="宋体" w:hAnsi="宋体" w:cs="宋体"/>
                <w:szCs w:val="21"/>
              </w:rPr>
            </w:pPr>
            <w:r>
              <w:rPr>
                <w:rFonts w:hint="eastAsia" w:ascii="宋体" w:hAnsi="宋体" w:cs="宋体"/>
                <w:szCs w:val="21"/>
              </w:rPr>
              <w:t>5</w:t>
            </w:r>
          </w:p>
        </w:tc>
        <w:tc>
          <w:tcPr>
            <w:tcW w:w="2792" w:type="dxa"/>
            <w:vAlign w:val="center"/>
          </w:tcPr>
          <w:p>
            <w:pPr>
              <w:wordWrap w:val="0"/>
              <w:spacing w:line="440" w:lineRule="exact"/>
              <w:jc w:val="center"/>
              <w:rPr>
                <w:rFonts w:ascii="宋体" w:hAnsi="宋体" w:cs="宋体"/>
                <w:szCs w:val="21"/>
              </w:rPr>
            </w:pPr>
            <w:r>
              <w:rPr>
                <w:rFonts w:hint="eastAsia" w:ascii="宋体" w:hAnsi="宋体" w:cs="宋体"/>
                <w:szCs w:val="21"/>
              </w:rPr>
              <w:t>违约承诺</w:t>
            </w:r>
          </w:p>
        </w:tc>
        <w:tc>
          <w:tcPr>
            <w:tcW w:w="776" w:type="dxa"/>
            <w:vAlign w:val="center"/>
          </w:tcPr>
          <w:p>
            <w:pPr>
              <w:wordWrap w:val="0"/>
              <w:spacing w:line="440" w:lineRule="exact"/>
              <w:jc w:val="center"/>
              <w:rPr>
                <w:rFonts w:ascii="宋体" w:hAnsi="宋体" w:cs="宋体"/>
                <w:szCs w:val="21"/>
                <w:lang w:val="en"/>
              </w:rPr>
            </w:pPr>
            <w:r>
              <w:rPr>
                <w:rFonts w:ascii="宋体" w:hAnsi="宋体" w:cs="宋体"/>
                <w:szCs w:val="21"/>
                <w:lang w:val="en"/>
              </w:rPr>
              <w:t>3</w:t>
            </w:r>
          </w:p>
        </w:tc>
        <w:tc>
          <w:tcPr>
            <w:tcW w:w="4153" w:type="dxa"/>
          </w:tcPr>
          <w:p>
            <w:pPr>
              <w:widowControl/>
              <w:spacing w:line="440" w:lineRule="exact"/>
              <w:jc w:val="left"/>
              <w:rPr>
                <w:rFonts w:ascii="宋体" w:hAnsi="宋体" w:cs="宋体"/>
                <w:szCs w:val="21"/>
              </w:rPr>
            </w:pPr>
            <w:r>
              <w:rPr>
                <w:rFonts w:hint="eastAsia" w:ascii="宋体" w:hAnsi="宋体" w:cs="宋体"/>
                <w:szCs w:val="21"/>
              </w:rPr>
              <w:t>投标人承诺以下全部三项的得</w:t>
            </w:r>
            <w:r>
              <w:rPr>
                <w:rFonts w:ascii="宋体" w:hAnsi="宋体" w:cs="宋体"/>
                <w:szCs w:val="21"/>
                <w:lang w:val="en"/>
              </w:rPr>
              <w:t>3</w:t>
            </w:r>
            <w:r>
              <w:rPr>
                <w:rFonts w:hint="eastAsia" w:ascii="宋体" w:hAnsi="宋体" w:cs="宋体"/>
                <w:szCs w:val="21"/>
              </w:rPr>
              <w:t>分，否则不得分。</w:t>
            </w:r>
          </w:p>
          <w:p>
            <w:pPr>
              <w:widowControl/>
              <w:spacing w:line="440" w:lineRule="exact"/>
              <w:jc w:val="left"/>
              <w:rPr>
                <w:rFonts w:ascii="宋体" w:hAnsi="宋体" w:cs="宋体"/>
                <w:szCs w:val="21"/>
              </w:rPr>
            </w:pPr>
            <w:r>
              <w:rPr>
                <w:rFonts w:hint="eastAsia" w:ascii="宋体" w:hAnsi="宋体" w:cs="宋体"/>
                <w:szCs w:val="21"/>
              </w:rPr>
              <w:t>1.人员严格按照招标文件及投标承诺配置；</w:t>
            </w:r>
          </w:p>
          <w:p>
            <w:pPr>
              <w:widowControl/>
              <w:spacing w:line="440" w:lineRule="exact"/>
              <w:jc w:val="left"/>
              <w:rPr>
                <w:rFonts w:ascii="宋体" w:hAnsi="宋体" w:cs="宋体"/>
                <w:szCs w:val="21"/>
              </w:rPr>
            </w:pPr>
            <w:r>
              <w:rPr>
                <w:rFonts w:hint="eastAsia" w:ascii="宋体" w:hAnsi="宋体" w:cs="宋体"/>
                <w:szCs w:val="21"/>
              </w:rPr>
              <w:t>2.服务质量达到招标文件要求；</w:t>
            </w:r>
          </w:p>
          <w:p>
            <w:pPr>
              <w:spacing w:line="440" w:lineRule="exact"/>
              <w:jc w:val="left"/>
              <w:rPr>
                <w:rFonts w:ascii="宋体" w:hAnsi="宋体" w:cs="宋体"/>
                <w:szCs w:val="21"/>
              </w:rPr>
            </w:pPr>
            <w:r>
              <w:rPr>
                <w:rFonts w:hint="eastAsia" w:ascii="宋体" w:hAnsi="宋体" w:cs="宋体"/>
                <w:szCs w:val="21"/>
              </w:rPr>
              <w:t>3.对未能达到的管理要求承担管理责任。</w:t>
            </w:r>
          </w:p>
          <w:p>
            <w:pPr>
              <w:spacing w:line="440" w:lineRule="exact"/>
              <w:jc w:val="left"/>
              <w:rPr>
                <w:rFonts w:ascii="宋体" w:hAnsi="宋体" w:cs="宋体"/>
                <w:szCs w:val="21"/>
              </w:rPr>
            </w:pPr>
            <w:r>
              <w:rPr>
                <w:rFonts w:hint="eastAsia" w:ascii="宋体" w:hAnsi="宋体" w:cs="宋体"/>
                <w:szCs w:val="21"/>
              </w:rPr>
              <w:t>要求提供承诺（格式自定）作为得分依据，未提供承诺或承诺内容不满足要求不得分。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continue"/>
            <w:vAlign w:val="center"/>
          </w:tcPr>
          <w:p>
            <w:pPr>
              <w:spacing w:line="440" w:lineRule="exact"/>
              <w:rPr>
                <w:rFonts w:ascii="宋体" w:hAnsi="宋体" w:cs="宋体"/>
                <w:b/>
                <w:bCs/>
                <w:sz w:val="24"/>
              </w:rPr>
            </w:pPr>
          </w:p>
        </w:tc>
        <w:tc>
          <w:tcPr>
            <w:tcW w:w="675" w:type="dxa"/>
            <w:vAlign w:val="center"/>
          </w:tcPr>
          <w:p>
            <w:pPr>
              <w:wordWrap w:val="0"/>
              <w:spacing w:line="440" w:lineRule="exact"/>
              <w:jc w:val="center"/>
              <w:rPr>
                <w:rFonts w:ascii="宋体" w:hAnsi="宋体" w:cs="宋体"/>
                <w:szCs w:val="21"/>
              </w:rPr>
            </w:pPr>
            <w:r>
              <w:rPr>
                <w:rFonts w:hint="eastAsia" w:ascii="宋体" w:hAnsi="宋体" w:cs="宋体"/>
                <w:szCs w:val="21"/>
              </w:rPr>
              <w:t>6</w:t>
            </w:r>
          </w:p>
        </w:tc>
        <w:tc>
          <w:tcPr>
            <w:tcW w:w="2792" w:type="dxa"/>
            <w:vAlign w:val="center"/>
          </w:tcPr>
          <w:p>
            <w:pPr>
              <w:wordWrap w:val="0"/>
              <w:spacing w:line="440" w:lineRule="exact"/>
              <w:jc w:val="center"/>
              <w:rPr>
                <w:rFonts w:ascii="宋体" w:hAnsi="宋体" w:cs="宋体"/>
                <w:szCs w:val="21"/>
              </w:rPr>
            </w:pPr>
            <w:r>
              <w:rPr>
                <w:rFonts w:hint="eastAsia" w:ascii="宋体" w:hAnsi="宋体" w:cs="宋体"/>
                <w:szCs w:val="21"/>
              </w:rPr>
              <w:t>拟安排的项目负责人情况</w:t>
            </w:r>
          </w:p>
        </w:tc>
        <w:tc>
          <w:tcPr>
            <w:tcW w:w="776" w:type="dxa"/>
            <w:vAlign w:val="center"/>
          </w:tcPr>
          <w:p>
            <w:pPr>
              <w:wordWrap w:val="0"/>
              <w:spacing w:line="440" w:lineRule="exact"/>
              <w:jc w:val="center"/>
              <w:rPr>
                <w:rFonts w:ascii="宋体" w:hAnsi="宋体" w:cs="宋体"/>
                <w:szCs w:val="21"/>
                <w:lang w:val="en"/>
              </w:rPr>
            </w:pPr>
            <w:r>
              <w:rPr>
                <w:rFonts w:ascii="宋体" w:hAnsi="宋体" w:cs="宋体"/>
                <w:szCs w:val="21"/>
                <w:lang w:val="en"/>
              </w:rPr>
              <w:t>4</w:t>
            </w:r>
          </w:p>
        </w:tc>
        <w:tc>
          <w:tcPr>
            <w:tcW w:w="4153" w:type="dxa"/>
          </w:tcPr>
          <w:p>
            <w:pPr>
              <w:spacing w:after="160" w:line="440" w:lineRule="exact"/>
              <w:jc w:val="left"/>
              <w:rPr>
                <w:rFonts w:ascii="宋体" w:hAnsi="宋体" w:cs="宋体"/>
                <w:szCs w:val="21"/>
              </w:rPr>
            </w:pPr>
            <w:r>
              <w:rPr>
                <w:rFonts w:hint="eastAsia" w:ascii="宋体" w:hAnsi="宋体" w:cs="宋体"/>
                <w:szCs w:val="21"/>
              </w:rPr>
              <w:t>项目负责人应通过高级工程师职称评定并具有国家人社和工信机构颁发的信息系统项目管理师证书和PMP证书，全部满足得</w:t>
            </w:r>
            <w:r>
              <w:rPr>
                <w:rFonts w:ascii="宋体" w:hAnsi="宋体" w:cs="宋体"/>
                <w:szCs w:val="21"/>
                <w:lang w:val="en"/>
              </w:rPr>
              <w:t>4</w:t>
            </w:r>
            <w:r>
              <w:rPr>
                <w:rFonts w:hint="eastAsia" w:ascii="宋体" w:hAnsi="宋体" w:cs="宋体"/>
                <w:szCs w:val="21"/>
              </w:rPr>
              <w:t>分，不满足得0分。</w:t>
            </w:r>
          </w:p>
          <w:p>
            <w:pPr>
              <w:spacing w:after="160" w:line="440" w:lineRule="exact"/>
              <w:jc w:val="left"/>
              <w:rPr>
                <w:rFonts w:ascii="宋体" w:hAnsi="宋体" w:cs="宋体"/>
                <w:szCs w:val="21"/>
              </w:rPr>
            </w:pPr>
            <w:r>
              <w:rPr>
                <w:rFonts w:hint="eastAsia" w:ascii="宋体" w:hAnsi="宋体" w:cs="宋体"/>
                <w:szCs w:val="21"/>
              </w:rPr>
              <w:t>（要求提供通过投标人缴纳的该人员近三个月的社保缴纳证明作为本单位员工的证明依据；要求提供该人员相关证明资料作为得分依据；以上资料均要求提供扫描件，原件备查）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continue"/>
            <w:vAlign w:val="center"/>
          </w:tcPr>
          <w:p>
            <w:pPr>
              <w:spacing w:line="440" w:lineRule="exact"/>
              <w:rPr>
                <w:rFonts w:ascii="宋体" w:hAnsi="宋体" w:cs="宋体"/>
                <w:b/>
                <w:bCs/>
                <w:sz w:val="24"/>
              </w:rPr>
            </w:pPr>
          </w:p>
        </w:tc>
        <w:tc>
          <w:tcPr>
            <w:tcW w:w="675" w:type="dxa"/>
            <w:vAlign w:val="center"/>
          </w:tcPr>
          <w:p>
            <w:pPr>
              <w:wordWrap w:val="0"/>
              <w:spacing w:line="440" w:lineRule="exact"/>
              <w:jc w:val="center"/>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7</w:t>
            </w:r>
          </w:p>
        </w:tc>
        <w:tc>
          <w:tcPr>
            <w:tcW w:w="2792" w:type="dxa"/>
            <w:vAlign w:val="center"/>
          </w:tcPr>
          <w:p>
            <w:pPr>
              <w:wordWrap w:val="0"/>
              <w:spacing w:line="440" w:lineRule="exact"/>
              <w:jc w:val="center"/>
              <w:rPr>
                <w:rFonts w:ascii="宋体" w:hAnsi="宋体" w:cs="宋体"/>
                <w:szCs w:val="21"/>
              </w:rPr>
            </w:pPr>
            <w:r>
              <w:rPr>
                <w:rFonts w:hint="eastAsia" w:ascii="宋体" w:hAnsi="宋体" w:cs="宋体"/>
                <w:szCs w:val="21"/>
              </w:rPr>
              <w:t>拟安排的项目主要团队成员情况（项目负责人除外）</w:t>
            </w:r>
          </w:p>
        </w:tc>
        <w:tc>
          <w:tcPr>
            <w:tcW w:w="776" w:type="dxa"/>
            <w:vAlign w:val="center"/>
          </w:tcPr>
          <w:p>
            <w:pPr>
              <w:wordWrap w:val="0"/>
              <w:spacing w:line="440" w:lineRule="exact"/>
              <w:jc w:val="center"/>
              <w:rPr>
                <w:rFonts w:ascii="宋体" w:hAnsi="宋体" w:cs="宋体"/>
                <w:szCs w:val="21"/>
              </w:rPr>
            </w:pPr>
            <w:r>
              <w:rPr>
                <w:rFonts w:ascii="宋体" w:hAnsi="宋体" w:cs="宋体"/>
                <w:szCs w:val="21"/>
              </w:rPr>
              <w:t>8</w:t>
            </w:r>
          </w:p>
        </w:tc>
        <w:tc>
          <w:tcPr>
            <w:tcW w:w="4153" w:type="dxa"/>
          </w:tcPr>
          <w:p>
            <w:pPr>
              <w:widowControl/>
              <w:spacing w:line="440" w:lineRule="exact"/>
              <w:jc w:val="left"/>
              <w:rPr>
                <w:rFonts w:ascii="宋体" w:hAnsi="宋体" w:cs="宋体"/>
                <w:szCs w:val="21"/>
              </w:rPr>
            </w:pPr>
            <w:r>
              <w:rPr>
                <w:rFonts w:hint="eastAsia" w:ascii="宋体" w:hAnsi="宋体" w:cs="宋体"/>
                <w:szCs w:val="21"/>
              </w:rPr>
              <w:t>1.项目技术负责人应通过高级工程师职称评定并具有国家人社和工信机构颁发的系统架构设计师证书，满足得</w:t>
            </w:r>
            <w:r>
              <w:rPr>
                <w:rFonts w:ascii="宋体" w:hAnsi="宋体" w:cs="宋体"/>
                <w:szCs w:val="21"/>
              </w:rPr>
              <w:t>4</w:t>
            </w:r>
            <w:r>
              <w:rPr>
                <w:rFonts w:hint="eastAsia" w:ascii="宋体" w:hAnsi="宋体" w:cs="宋体"/>
                <w:szCs w:val="21"/>
              </w:rPr>
              <w:t>分，不满足得0分；</w:t>
            </w:r>
          </w:p>
          <w:p>
            <w:pPr>
              <w:widowControl/>
              <w:spacing w:line="440" w:lineRule="exact"/>
              <w:jc w:val="left"/>
              <w:rPr>
                <w:rFonts w:ascii="宋体" w:hAnsi="宋体" w:cs="宋体"/>
                <w:szCs w:val="21"/>
              </w:rPr>
            </w:pPr>
            <w:r>
              <w:rPr>
                <w:rFonts w:hint="eastAsia" w:ascii="宋体" w:hAnsi="宋体" w:cs="宋体"/>
                <w:szCs w:val="21"/>
              </w:rPr>
              <w:t>2.项目主要成员应具有系统架构设计师证书、系统分析师证书、软件高级测评师证书、JAVA程序设计师证书，每一类证书得1分，最多得</w:t>
            </w:r>
            <w:r>
              <w:rPr>
                <w:rFonts w:ascii="宋体" w:hAnsi="宋体" w:cs="宋体"/>
                <w:szCs w:val="21"/>
              </w:rPr>
              <w:t>4</w:t>
            </w:r>
            <w:r>
              <w:rPr>
                <w:rFonts w:hint="eastAsia" w:ascii="宋体" w:hAnsi="宋体" w:cs="宋体"/>
                <w:szCs w:val="21"/>
              </w:rPr>
              <w:t>分，</w:t>
            </w:r>
            <w:r>
              <w:rPr>
                <w:rFonts w:hint="eastAsia"/>
                <w:lang w:val="en-US" w:eastAsia="zh-CN"/>
              </w:rPr>
              <w:t>同一人员有多个证书类型不重复得分</w:t>
            </w:r>
            <w:r>
              <w:rPr>
                <w:rFonts w:hint="eastAsia" w:ascii="宋体" w:hAnsi="宋体" w:cs="宋体"/>
                <w:szCs w:val="21"/>
              </w:rPr>
              <w:t>；</w:t>
            </w:r>
          </w:p>
          <w:p>
            <w:pPr>
              <w:spacing w:line="440" w:lineRule="exact"/>
              <w:jc w:val="left"/>
              <w:rPr>
                <w:rFonts w:ascii="宋体" w:hAnsi="宋体" w:cs="宋体"/>
                <w:szCs w:val="21"/>
              </w:rPr>
            </w:pPr>
            <w:r>
              <w:rPr>
                <w:rFonts w:hint="eastAsia" w:ascii="宋体" w:hAnsi="宋体" w:cs="宋体"/>
                <w:szCs w:val="21"/>
              </w:rPr>
              <w:t>（要求提供通过投标人缴纳的该人员近三个月的社保缴纳证明作为本单位员工的证明依据；要求提供该人员相关证明资料作为得分依据；以上资料均要求提供扫描件，原件备查）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282" w:hRule="atLeast"/>
          <w:jc w:val="center"/>
        </w:trPr>
        <w:tc>
          <w:tcPr>
            <w:tcW w:w="676" w:type="dxa"/>
            <w:vMerge w:val="continue"/>
            <w:vAlign w:val="center"/>
          </w:tcPr>
          <w:p>
            <w:pPr>
              <w:spacing w:line="440" w:lineRule="exact"/>
              <w:rPr>
                <w:rFonts w:ascii="宋体" w:hAnsi="宋体" w:cs="宋体"/>
                <w:b/>
                <w:bCs/>
                <w:sz w:val="24"/>
              </w:rPr>
            </w:pPr>
          </w:p>
        </w:tc>
        <w:tc>
          <w:tcPr>
            <w:tcW w:w="675" w:type="dxa"/>
            <w:vAlign w:val="center"/>
          </w:tcPr>
          <w:p>
            <w:pPr>
              <w:wordWrap w:val="0"/>
              <w:spacing w:line="440" w:lineRule="exact"/>
              <w:jc w:val="center"/>
              <w:rPr>
                <w:rFonts w:ascii="宋体" w:hAnsi="宋体" w:cs="宋体"/>
                <w:szCs w:val="21"/>
              </w:rPr>
            </w:pPr>
            <w:r>
              <w:rPr>
                <w:rFonts w:hint="eastAsia" w:ascii="宋体" w:hAnsi="宋体" w:cs="宋体"/>
                <w:szCs w:val="21"/>
              </w:rPr>
              <w:t>9</w:t>
            </w:r>
          </w:p>
        </w:tc>
        <w:tc>
          <w:tcPr>
            <w:tcW w:w="2792" w:type="dxa"/>
            <w:vAlign w:val="center"/>
          </w:tcPr>
          <w:p>
            <w:pPr>
              <w:wordWrap w:val="0"/>
              <w:spacing w:line="440" w:lineRule="exact"/>
              <w:jc w:val="center"/>
              <w:rPr>
                <w:rFonts w:ascii="宋体" w:hAnsi="宋体" w:cs="宋体"/>
                <w:szCs w:val="21"/>
              </w:rPr>
            </w:pPr>
            <w:r>
              <w:rPr>
                <w:rFonts w:hint="eastAsia" w:ascii="宋体" w:hAnsi="宋体" w:cs="宋体"/>
                <w:szCs w:val="21"/>
              </w:rPr>
              <w:t>现场系统演示</w:t>
            </w:r>
          </w:p>
        </w:tc>
        <w:tc>
          <w:tcPr>
            <w:tcW w:w="776" w:type="dxa"/>
            <w:vAlign w:val="center"/>
          </w:tcPr>
          <w:p>
            <w:pPr>
              <w:wordWrap w:val="0"/>
              <w:spacing w:line="440" w:lineRule="exact"/>
              <w:jc w:val="center"/>
              <w:rPr>
                <w:rFonts w:ascii="宋体" w:hAnsi="宋体" w:cs="宋体"/>
                <w:szCs w:val="21"/>
              </w:rPr>
            </w:pPr>
            <w:r>
              <w:rPr>
                <w:rFonts w:hint="eastAsia" w:ascii="宋体" w:hAnsi="宋体" w:cs="宋体"/>
                <w:szCs w:val="21"/>
              </w:rPr>
              <w:t>1</w:t>
            </w:r>
            <w:r>
              <w:rPr>
                <w:rFonts w:ascii="宋体" w:hAnsi="宋体" w:cs="宋体"/>
                <w:szCs w:val="21"/>
              </w:rPr>
              <w:t>0</w:t>
            </w:r>
          </w:p>
        </w:tc>
        <w:tc>
          <w:tcPr>
            <w:tcW w:w="4153" w:type="dxa"/>
          </w:tcPr>
          <w:p>
            <w:pPr>
              <w:spacing w:line="440" w:lineRule="exact"/>
              <w:jc w:val="left"/>
              <w:rPr>
                <w:rFonts w:ascii="宋体" w:hAnsi="宋体" w:cs="宋体"/>
                <w:color w:val="auto"/>
                <w:szCs w:val="21"/>
              </w:rPr>
            </w:pPr>
            <w:r>
              <w:rPr>
                <w:rFonts w:hint="eastAsia" w:ascii="宋体" w:hAnsi="宋体" w:cs="宋体"/>
                <w:color w:val="auto"/>
                <w:szCs w:val="21"/>
              </w:rPr>
              <w:t>演示内容：</w:t>
            </w:r>
            <w:r>
              <w:rPr>
                <w:rFonts w:ascii="宋体" w:hAnsi="宋体" w:cs="宋体"/>
                <w:color w:val="auto"/>
                <w:szCs w:val="21"/>
              </w:rPr>
              <w:t xml:space="preserve"> </w:t>
            </w:r>
          </w:p>
          <w:p>
            <w:pPr>
              <w:numPr>
                <w:ilvl w:val="0"/>
                <w:numId w:val="10"/>
              </w:numPr>
              <w:wordWrap w:val="0"/>
              <w:spacing w:line="440" w:lineRule="exact"/>
              <w:rPr>
                <w:rFonts w:hint="default" w:ascii="宋体" w:hAnsi="宋体" w:eastAsia="宋体" w:cs="宋体"/>
                <w:color w:val="auto"/>
                <w:szCs w:val="21"/>
                <w:lang w:val="en-US" w:eastAsia="zh-CN"/>
              </w:rPr>
            </w:pPr>
            <w:r>
              <w:rPr>
                <w:rFonts w:hint="eastAsia" w:ascii="宋体" w:hAnsi="宋体" w:cs="宋体"/>
                <w:color w:val="auto"/>
                <w:szCs w:val="21"/>
                <w:lang w:val="en-US" w:eastAsia="zh-CN"/>
              </w:rPr>
              <w:t>企业查询，餐饮企业查询、药店查询、农批市场查询；</w:t>
            </w:r>
          </w:p>
          <w:p>
            <w:pPr>
              <w:numPr>
                <w:ilvl w:val="0"/>
                <w:numId w:val="10"/>
              </w:numPr>
              <w:wordWrap w:val="0"/>
              <w:spacing w:line="440" w:lineRule="exact"/>
              <w:rPr>
                <w:rFonts w:hint="default" w:ascii="宋体" w:hAnsi="宋体" w:eastAsia="宋体" w:cs="宋体"/>
                <w:color w:val="auto"/>
                <w:szCs w:val="21"/>
                <w:lang w:val="en-US" w:eastAsia="zh-CN"/>
              </w:rPr>
            </w:pPr>
            <w:r>
              <w:rPr>
                <w:rFonts w:hint="eastAsia" w:ascii="宋体" w:hAnsi="宋体" w:cs="宋体"/>
                <w:color w:val="auto"/>
                <w:szCs w:val="21"/>
                <w:lang w:val="en-US" w:eastAsia="zh-CN"/>
              </w:rPr>
              <w:t>从业人员管理，包括人员维护，人员核酸信息查询预警；</w:t>
            </w:r>
          </w:p>
          <w:p>
            <w:pPr>
              <w:numPr>
                <w:ilvl w:val="0"/>
                <w:numId w:val="10"/>
              </w:numPr>
              <w:wordWrap w:val="0"/>
              <w:spacing w:line="440" w:lineRule="exact"/>
              <w:rPr>
                <w:rFonts w:hint="default" w:ascii="宋体" w:hAnsi="宋体" w:eastAsia="宋体" w:cs="宋体"/>
                <w:color w:val="auto"/>
                <w:szCs w:val="21"/>
                <w:lang w:val="en-US" w:eastAsia="zh-CN"/>
              </w:rPr>
            </w:pPr>
            <w:r>
              <w:rPr>
                <w:rFonts w:hint="eastAsia" w:ascii="宋体" w:hAnsi="宋体" w:cs="宋体"/>
                <w:color w:val="auto"/>
                <w:szCs w:val="21"/>
                <w:lang w:val="en-US" w:eastAsia="zh-CN"/>
              </w:rPr>
              <w:t>餐企自查，餐企注册后通过app开展自查录入；</w:t>
            </w:r>
          </w:p>
          <w:p>
            <w:pPr>
              <w:numPr>
                <w:ilvl w:val="0"/>
                <w:numId w:val="10"/>
              </w:numPr>
              <w:wordWrap w:val="0"/>
              <w:spacing w:line="440" w:lineRule="exact"/>
              <w:rPr>
                <w:rFonts w:hint="default" w:ascii="宋体" w:hAnsi="宋体" w:eastAsia="宋体" w:cs="宋体"/>
                <w:color w:val="auto"/>
                <w:szCs w:val="21"/>
                <w:lang w:val="en-US" w:eastAsia="zh-CN"/>
              </w:rPr>
            </w:pPr>
            <w:r>
              <w:rPr>
                <w:rFonts w:hint="eastAsia" w:ascii="宋体" w:hAnsi="宋体" w:cs="宋体"/>
                <w:color w:val="auto"/>
                <w:szCs w:val="21"/>
                <w:lang w:val="en-US" w:eastAsia="zh-CN"/>
              </w:rPr>
              <w:t>整改复查，餐企接受检查不合格的整改，并能录入整改信息；</w:t>
            </w:r>
          </w:p>
          <w:p>
            <w:pPr>
              <w:numPr>
                <w:ilvl w:val="0"/>
                <w:numId w:val="10"/>
              </w:numPr>
              <w:wordWrap w:val="0"/>
              <w:spacing w:line="440" w:lineRule="exact"/>
              <w:rPr>
                <w:rFonts w:hint="default" w:ascii="宋体" w:hAnsi="宋体" w:eastAsia="宋体" w:cs="宋体"/>
                <w:color w:val="auto"/>
                <w:szCs w:val="21"/>
                <w:lang w:val="en-US" w:eastAsia="zh-CN"/>
              </w:rPr>
            </w:pPr>
            <w:r>
              <w:rPr>
                <w:rFonts w:hint="eastAsia" w:ascii="宋体" w:hAnsi="宋体" w:cs="宋体"/>
                <w:color w:val="auto"/>
                <w:szCs w:val="21"/>
                <w:lang w:val="en-US" w:eastAsia="zh-CN"/>
              </w:rPr>
              <w:t>巡查， 对主体开展巡查及录入；</w:t>
            </w:r>
          </w:p>
          <w:p>
            <w:pPr>
              <w:numPr>
                <w:ilvl w:val="0"/>
                <w:numId w:val="10"/>
              </w:numPr>
              <w:wordWrap w:val="0"/>
              <w:spacing w:line="440" w:lineRule="exact"/>
              <w:rPr>
                <w:rFonts w:hint="default" w:ascii="宋体" w:hAnsi="宋体" w:eastAsia="宋体" w:cs="宋体"/>
                <w:color w:val="auto"/>
                <w:szCs w:val="21"/>
                <w:lang w:val="en-US" w:eastAsia="zh-CN"/>
              </w:rPr>
            </w:pPr>
            <w:r>
              <w:rPr>
                <w:rFonts w:hint="eastAsia" w:ascii="宋体" w:hAnsi="宋体" w:cs="宋体"/>
                <w:color w:val="auto"/>
                <w:szCs w:val="21"/>
                <w:lang w:val="en-US" w:eastAsia="zh-CN"/>
              </w:rPr>
              <w:t>消息通知，及预警信息；</w:t>
            </w:r>
          </w:p>
          <w:p>
            <w:pPr>
              <w:numPr>
                <w:ilvl w:val="0"/>
                <w:numId w:val="10"/>
              </w:numPr>
              <w:wordWrap w:val="0"/>
              <w:spacing w:line="440" w:lineRule="exact"/>
              <w:rPr>
                <w:rFonts w:hint="default" w:ascii="宋体" w:hAnsi="宋体" w:eastAsia="宋体" w:cs="宋体"/>
                <w:color w:val="auto"/>
                <w:szCs w:val="21"/>
                <w:lang w:val="en-US" w:eastAsia="zh-CN"/>
              </w:rPr>
            </w:pPr>
            <w:r>
              <w:rPr>
                <w:rFonts w:hint="eastAsia" w:ascii="宋体" w:hAnsi="宋体" w:cs="宋体"/>
                <w:color w:val="auto"/>
                <w:szCs w:val="21"/>
                <w:lang w:val="en-US" w:eastAsia="zh-CN"/>
              </w:rPr>
              <w:t>培训管理；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restart"/>
          </w:tcPr>
          <w:p>
            <w:pPr>
              <w:wordWrap w:val="0"/>
              <w:spacing w:line="440" w:lineRule="exact"/>
              <w:jc w:val="center"/>
              <w:rPr>
                <w:rFonts w:ascii="宋体" w:hAnsi="宋体" w:cs="宋体"/>
                <w:b/>
                <w:bCs/>
                <w:sz w:val="24"/>
              </w:rPr>
            </w:pPr>
            <w:r>
              <w:rPr>
                <w:rFonts w:hint="eastAsia" w:ascii="宋体" w:hAnsi="宋体" w:cs="宋体"/>
                <w:b/>
                <w:bCs/>
              </w:rPr>
              <w:t>3</w:t>
            </w:r>
          </w:p>
        </w:tc>
        <w:tc>
          <w:tcPr>
            <w:tcW w:w="4243" w:type="dxa"/>
            <w:gridSpan w:val="3"/>
          </w:tcPr>
          <w:p>
            <w:pPr>
              <w:wordWrap w:val="0"/>
              <w:spacing w:line="440" w:lineRule="exact"/>
              <w:jc w:val="center"/>
              <w:rPr>
                <w:rFonts w:ascii="宋体" w:hAnsi="宋体" w:cs="宋体"/>
                <w:b/>
                <w:bCs/>
                <w:sz w:val="24"/>
              </w:rPr>
            </w:pPr>
            <w:r>
              <w:rPr>
                <w:rFonts w:hint="eastAsia" w:ascii="宋体" w:hAnsi="宋体" w:cs="宋体"/>
                <w:b/>
                <w:bCs/>
              </w:rPr>
              <w:t>综合实力</w:t>
            </w:r>
          </w:p>
        </w:tc>
        <w:tc>
          <w:tcPr>
            <w:tcW w:w="4153" w:type="dxa"/>
          </w:tcPr>
          <w:p>
            <w:pPr>
              <w:wordWrap w:val="0"/>
              <w:spacing w:line="440" w:lineRule="exact"/>
              <w:jc w:val="center"/>
              <w:rPr>
                <w:rFonts w:ascii="宋体" w:hAnsi="宋体" w:cs="宋体"/>
                <w:b/>
                <w:bCs/>
                <w:color w:val="auto"/>
                <w:sz w:val="24"/>
              </w:rPr>
            </w:pPr>
            <w:r>
              <w:rPr>
                <w:rFonts w:hint="eastAsia" w:ascii="宋体" w:hAnsi="宋体" w:cs="宋体"/>
                <w:b/>
                <w:color w:val="auto"/>
                <w:szCs w:val="21"/>
              </w:rPr>
              <w:t>2</w:t>
            </w:r>
            <w:r>
              <w:rPr>
                <w:rFonts w:ascii="宋体" w:hAnsi="宋体" w:cs="宋体"/>
                <w:b/>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continue"/>
            <w:shd w:val="clear" w:color="auto" w:fill="E6EFFA"/>
            <w:vAlign w:val="center"/>
          </w:tcPr>
          <w:p>
            <w:pPr>
              <w:spacing w:line="440" w:lineRule="exact"/>
              <w:rPr>
                <w:rFonts w:ascii="宋体" w:hAnsi="宋体" w:cs="宋体"/>
                <w:b/>
                <w:bCs/>
                <w:sz w:val="24"/>
              </w:rPr>
            </w:pPr>
          </w:p>
        </w:tc>
        <w:tc>
          <w:tcPr>
            <w:tcW w:w="675" w:type="dxa"/>
            <w:shd w:val="clear" w:color="auto" w:fill="E6EFFA"/>
            <w:vAlign w:val="center"/>
          </w:tcPr>
          <w:p>
            <w:pPr>
              <w:wordWrap w:val="0"/>
              <w:spacing w:line="440" w:lineRule="exact"/>
              <w:jc w:val="center"/>
              <w:rPr>
                <w:rFonts w:ascii="宋体" w:hAnsi="宋体" w:cs="宋体"/>
                <w:szCs w:val="21"/>
              </w:rPr>
            </w:pPr>
            <w:r>
              <w:rPr>
                <w:rFonts w:hint="eastAsia" w:ascii="宋体" w:hAnsi="宋体" w:cs="宋体"/>
                <w:szCs w:val="21"/>
              </w:rPr>
              <w:t>序号</w:t>
            </w:r>
          </w:p>
        </w:tc>
        <w:tc>
          <w:tcPr>
            <w:tcW w:w="2792" w:type="dxa"/>
            <w:shd w:val="clear" w:color="auto" w:fill="E6EFFA"/>
            <w:vAlign w:val="center"/>
          </w:tcPr>
          <w:p>
            <w:pPr>
              <w:wordWrap w:val="0"/>
              <w:spacing w:line="440" w:lineRule="exact"/>
              <w:jc w:val="center"/>
              <w:rPr>
                <w:rFonts w:ascii="宋体" w:hAnsi="宋体" w:cs="宋体"/>
                <w:szCs w:val="21"/>
              </w:rPr>
            </w:pPr>
            <w:r>
              <w:rPr>
                <w:rFonts w:hint="eastAsia" w:ascii="宋体" w:hAnsi="宋体" w:cs="宋体"/>
                <w:szCs w:val="21"/>
              </w:rPr>
              <w:t>评分因素</w:t>
            </w:r>
          </w:p>
        </w:tc>
        <w:tc>
          <w:tcPr>
            <w:tcW w:w="776" w:type="dxa"/>
            <w:shd w:val="clear" w:color="auto" w:fill="E6EFFA"/>
            <w:vAlign w:val="center"/>
          </w:tcPr>
          <w:p>
            <w:pPr>
              <w:wordWrap w:val="0"/>
              <w:spacing w:line="440" w:lineRule="exact"/>
              <w:jc w:val="center"/>
              <w:rPr>
                <w:rFonts w:ascii="宋体" w:hAnsi="宋体" w:cs="宋体"/>
                <w:szCs w:val="21"/>
              </w:rPr>
            </w:pPr>
            <w:r>
              <w:rPr>
                <w:rFonts w:hint="eastAsia" w:ascii="宋体" w:hAnsi="宋体" w:cs="宋体"/>
                <w:szCs w:val="21"/>
              </w:rPr>
              <w:t>权重(%)</w:t>
            </w:r>
          </w:p>
        </w:tc>
        <w:tc>
          <w:tcPr>
            <w:tcW w:w="4153" w:type="dxa"/>
            <w:shd w:val="clear" w:color="auto" w:fill="E6EFFA"/>
            <w:vAlign w:val="center"/>
          </w:tcPr>
          <w:p>
            <w:pPr>
              <w:wordWrap w:val="0"/>
              <w:spacing w:line="440" w:lineRule="exact"/>
              <w:jc w:val="center"/>
              <w:rPr>
                <w:rFonts w:ascii="宋体" w:hAnsi="宋体" w:cs="宋体"/>
                <w:color w:val="auto"/>
                <w:szCs w:val="21"/>
              </w:rPr>
            </w:pPr>
            <w:r>
              <w:rPr>
                <w:rFonts w:hint="eastAsia" w:ascii="宋体" w:hAnsi="宋体" w:cs="宋体"/>
                <w:color w:val="auto"/>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continue"/>
            <w:vAlign w:val="center"/>
          </w:tcPr>
          <w:p>
            <w:pPr>
              <w:spacing w:line="440" w:lineRule="exact"/>
              <w:rPr>
                <w:rFonts w:ascii="宋体" w:hAnsi="宋体" w:cs="宋体"/>
                <w:b/>
                <w:bCs/>
                <w:sz w:val="24"/>
              </w:rPr>
            </w:pPr>
          </w:p>
        </w:tc>
        <w:tc>
          <w:tcPr>
            <w:tcW w:w="675" w:type="dxa"/>
            <w:vAlign w:val="center"/>
          </w:tcPr>
          <w:p>
            <w:pPr>
              <w:wordWrap w:val="0"/>
              <w:spacing w:line="440" w:lineRule="exact"/>
              <w:jc w:val="center"/>
              <w:rPr>
                <w:rFonts w:ascii="宋体" w:hAnsi="宋体" w:cs="宋体"/>
                <w:szCs w:val="21"/>
              </w:rPr>
            </w:pPr>
            <w:r>
              <w:rPr>
                <w:rFonts w:hint="eastAsia" w:ascii="宋体" w:hAnsi="宋体" w:cs="宋体"/>
                <w:szCs w:val="21"/>
              </w:rPr>
              <w:t>1</w:t>
            </w:r>
          </w:p>
        </w:tc>
        <w:tc>
          <w:tcPr>
            <w:tcW w:w="2792" w:type="dxa"/>
            <w:vAlign w:val="center"/>
          </w:tcPr>
          <w:p>
            <w:pPr>
              <w:wordWrap w:val="0"/>
              <w:spacing w:line="440" w:lineRule="exact"/>
              <w:jc w:val="center"/>
              <w:rPr>
                <w:rFonts w:ascii="宋体" w:hAnsi="宋体" w:cs="宋体"/>
                <w:szCs w:val="21"/>
              </w:rPr>
            </w:pPr>
            <w:r>
              <w:rPr>
                <w:rFonts w:hint="eastAsia" w:ascii="宋体" w:hAnsi="宋体" w:cs="宋体"/>
                <w:szCs w:val="21"/>
              </w:rPr>
              <w:t>供应商资格（资质、认证）情况</w:t>
            </w:r>
          </w:p>
        </w:tc>
        <w:tc>
          <w:tcPr>
            <w:tcW w:w="776" w:type="dxa"/>
            <w:vAlign w:val="center"/>
          </w:tcPr>
          <w:p>
            <w:pPr>
              <w:wordWrap w:val="0"/>
              <w:spacing w:line="440" w:lineRule="exact"/>
              <w:jc w:val="center"/>
              <w:rPr>
                <w:rFonts w:hint="eastAsia" w:ascii="宋体" w:hAnsi="宋体" w:eastAsia="宋体" w:cs="宋体"/>
                <w:szCs w:val="21"/>
                <w:lang w:eastAsia="zh-CN"/>
              </w:rPr>
            </w:pPr>
            <w:r>
              <w:rPr>
                <w:rFonts w:hint="eastAsia" w:ascii="宋体" w:hAnsi="宋体" w:cs="宋体"/>
                <w:szCs w:val="21"/>
                <w:lang w:val="en-US" w:eastAsia="zh-CN"/>
              </w:rPr>
              <w:t>9</w:t>
            </w:r>
          </w:p>
        </w:tc>
        <w:tc>
          <w:tcPr>
            <w:tcW w:w="4153" w:type="dxa"/>
          </w:tcPr>
          <w:p>
            <w:pPr>
              <w:spacing w:after="160" w:line="440" w:lineRule="exact"/>
              <w:jc w:val="left"/>
              <w:rPr>
                <w:rFonts w:ascii="宋体" w:hAnsi="宋体" w:cs="宋体"/>
                <w:color w:val="auto"/>
                <w:szCs w:val="21"/>
              </w:rPr>
            </w:pPr>
            <w:r>
              <w:rPr>
                <w:rFonts w:hint="eastAsia" w:ascii="宋体" w:hAnsi="宋体" w:cs="宋体"/>
                <w:color w:val="auto"/>
                <w:szCs w:val="21"/>
              </w:rPr>
              <w:t>1.供应商具有ISO9001 质量管理体系认证证书，得</w:t>
            </w:r>
            <w:r>
              <w:rPr>
                <w:rFonts w:hint="eastAsia" w:ascii="宋体" w:hAnsi="宋体" w:cs="宋体"/>
                <w:color w:val="auto"/>
                <w:szCs w:val="21"/>
                <w:lang w:val="en-US" w:eastAsia="zh-CN"/>
              </w:rPr>
              <w:t>3</w:t>
            </w:r>
            <w:r>
              <w:rPr>
                <w:rFonts w:hint="eastAsia" w:ascii="宋体" w:hAnsi="宋体" w:cs="宋体"/>
                <w:color w:val="auto"/>
                <w:szCs w:val="21"/>
              </w:rPr>
              <w:t>分；</w:t>
            </w:r>
          </w:p>
          <w:p>
            <w:pPr>
              <w:spacing w:after="160" w:line="440" w:lineRule="exact"/>
              <w:jc w:val="left"/>
              <w:rPr>
                <w:rFonts w:ascii="宋体" w:hAnsi="宋体" w:cs="宋体"/>
                <w:color w:val="auto"/>
                <w:szCs w:val="21"/>
              </w:rPr>
            </w:pPr>
            <w:r>
              <w:rPr>
                <w:rFonts w:hint="eastAsia" w:ascii="宋体" w:hAnsi="宋体" w:cs="宋体"/>
                <w:color w:val="auto"/>
                <w:szCs w:val="21"/>
              </w:rPr>
              <w:t>2. 供应商同时具有ISO</w:t>
            </w:r>
            <w:r>
              <w:rPr>
                <w:rFonts w:ascii="宋体" w:hAnsi="宋体" w:cs="宋体"/>
                <w:color w:val="auto"/>
                <w:szCs w:val="21"/>
              </w:rPr>
              <w:t>20000 IT服务管理体系认证证书及ISO27001</w:t>
            </w:r>
            <w:r>
              <w:rPr>
                <w:rFonts w:hint="eastAsia" w:ascii="宋体" w:hAnsi="宋体" w:cs="宋体"/>
                <w:color w:val="auto"/>
                <w:szCs w:val="21"/>
              </w:rPr>
              <w:t xml:space="preserve"> 信息安全管理体系认证证书，得</w:t>
            </w:r>
            <w:r>
              <w:rPr>
                <w:rFonts w:hint="eastAsia" w:ascii="宋体" w:hAnsi="宋体" w:cs="宋体"/>
                <w:color w:val="auto"/>
                <w:szCs w:val="21"/>
                <w:lang w:val="en-US" w:eastAsia="zh-CN"/>
              </w:rPr>
              <w:t>3</w:t>
            </w:r>
            <w:r>
              <w:rPr>
                <w:rFonts w:hint="eastAsia" w:ascii="宋体" w:hAnsi="宋体" w:cs="宋体"/>
                <w:color w:val="auto"/>
                <w:szCs w:val="21"/>
              </w:rPr>
              <w:t>分，只具备其中一项不得分；</w:t>
            </w:r>
          </w:p>
          <w:p>
            <w:pPr>
              <w:spacing w:after="160" w:line="440" w:lineRule="exact"/>
              <w:jc w:val="left"/>
              <w:rPr>
                <w:rFonts w:ascii="宋体" w:hAnsi="宋体" w:cs="宋体"/>
                <w:color w:val="auto"/>
                <w:szCs w:val="21"/>
              </w:rPr>
            </w:pPr>
            <w:r>
              <w:rPr>
                <w:rFonts w:hint="eastAsia" w:ascii="宋体" w:hAnsi="宋体" w:cs="宋体"/>
                <w:color w:val="auto"/>
                <w:szCs w:val="21"/>
              </w:rPr>
              <w:t>3. 供应商同时具有ISO</w:t>
            </w:r>
            <w:r>
              <w:rPr>
                <w:rFonts w:ascii="宋体" w:hAnsi="宋体" w:cs="宋体"/>
                <w:color w:val="auto"/>
                <w:szCs w:val="21"/>
              </w:rPr>
              <w:t>14001</w:t>
            </w:r>
            <w:r>
              <w:rPr>
                <w:rFonts w:hint="eastAsia" w:ascii="宋体" w:hAnsi="宋体" w:cs="宋体"/>
                <w:color w:val="auto"/>
                <w:szCs w:val="21"/>
              </w:rPr>
              <w:t>环境</w:t>
            </w:r>
            <w:r>
              <w:rPr>
                <w:rFonts w:ascii="宋体" w:hAnsi="宋体" w:cs="宋体"/>
                <w:color w:val="auto"/>
                <w:szCs w:val="21"/>
              </w:rPr>
              <w:t>管理体系认证证书及ISO45001</w:t>
            </w:r>
            <w:r>
              <w:rPr>
                <w:rFonts w:hint="eastAsia" w:ascii="宋体" w:hAnsi="宋体" w:cs="宋体"/>
                <w:color w:val="auto"/>
                <w:szCs w:val="21"/>
              </w:rPr>
              <w:t>职业健康安全管理体系认证证书，得</w:t>
            </w:r>
            <w:r>
              <w:rPr>
                <w:rFonts w:hint="eastAsia" w:ascii="宋体" w:hAnsi="宋体" w:cs="宋体"/>
                <w:color w:val="auto"/>
                <w:szCs w:val="21"/>
                <w:lang w:val="en-US" w:eastAsia="zh-CN"/>
              </w:rPr>
              <w:t>3</w:t>
            </w:r>
            <w:r>
              <w:rPr>
                <w:rFonts w:hint="eastAsia" w:ascii="宋体" w:hAnsi="宋体" w:cs="宋体"/>
                <w:color w:val="auto"/>
                <w:szCs w:val="21"/>
              </w:rPr>
              <w:t>分，只具备其中一项不得分</w:t>
            </w:r>
            <w:r>
              <w:rPr>
                <w:rFonts w:ascii="宋体" w:hAnsi="宋体" w:cs="宋体"/>
                <w:color w:val="auto"/>
                <w:szCs w:val="21"/>
              </w:rPr>
              <w:t>。</w:t>
            </w:r>
          </w:p>
          <w:p>
            <w:pPr>
              <w:spacing w:after="160" w:line="440" w:lineRule="exact"/>
              <w:jc w:val="left"/>
              <w:rPr>
                <w:rFonts w:ascii="宋体" w:hAnsi="宋体" w:cs="宋体"/>
                <w:color w:val="auto"/>
                <w:szCs w:val="21"/>
              </w:rPr>
            </w:pPr>
            <w:r>
              <w:rPr>
                <w:rFonts w:hint="eastAsia" w:ascii="宋体" w:hAnsi="宋体" w:cs="宋体"/>
                <w:color w:val="auto"/>
                <w:szCs w:val="21"/>
              </w:rPr>
              <w:t>（要求提供有效内的认证证书作为得分依据；以上资料均要求提供扫描件，原件备查）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continue"/>
            <w:vAlign w:val="center"/>
          </w:tcPr>
          <w:p>
            <w:pPr>
              <w:spacing w:line="440" w:lineRule="exact"/>
              <w:rPr>
                <w:rFonts w:ascii="宋体" w:hAnsi="宋体" w:cs="宋体"/>
                <w:b/>
                <w:bCs/>
                <w:sz w:val="24"/>
              </w:rPr>
            </w:pPr>
          </w:p>
        </w:tc>
        <w:tc>
          <w:tcPr>
            <w:tcW w:w="675" w:type="dxa"/>
            <w:vAlign w:val="center"/>
          </w:tcPr>
          <w:p>
            <w:pPr>
              <w:wordWrap w:val="0"/>
              <w:spacing w:line="440" w:lineRule="exact"/>
              <w:jc w:val="center"/>
              <w:rPr>
                <w:rFonts w:ascii="宋体" w:hAnsi="宋体" w:cs="宋体"/>
                <w:szCs w:val="21"/>
              </w:rPr>
            </w:pPr>
            <w:r>
              <w:rPr>
                <w:rFonts w:hint="eastAsia" w:ascii="宋体" w:hAnsi="宋体" w:cs="宋体"/>
                <w:szCs w:val="21"/>
              </w:rPr>
              <w:t>2</w:t>
            </w:r>
          </w:p>
        </w:tc>
        <w:tc>
          <w:tcPr>
            <w:tcW w:w="2792" w:type="dxa"/>
            <w:vAlign w:val="center"/>
          </w:tcPr>
          <w:p>
            <w:pPr>
              <w:wordWrap w:val="0"/>
              <w:spacing w:line="440" w:lineRule="exact"/>
              <w:jc w:val="center"/>
              <w:rPr>
                <w:rFonts w:ascii="宋体" w:hAnsi="宋体" w:cs="宋体"/>
                <w:szCs w:val="21"/>
              </w:rPr>
            </w:pPr>
            <w:r>
              <w:rPr>
                <w:rFonts w:hint="eastAsia" w:ascii="宋体" w:hAnsi="宋体" w:cs="宋体"/>
                <w:szCs w:val="21"/>
              </w:rPr>
              <w:t>供应商同类项目业绩情况</w:t>
            </w:r>
          </w:p>
        </w:tc>
        <w:tc>
          <w:tcPr>
            <w:tcW w:w="776" w:type="dxa"/>
            <w:vAlign w:val="center"/>
          </w:tcPr>
          <w:p>
            <w:pPr>
              <w:wordWrap w:val="0"/>
              <w:spacing w:line="440" w:lineRule="exact"/>
              <w:jc w:val="center"/>
              <w:rPr>
                <w:rFonts w:ascii="宋体" w:hAnsi="宋体" w:cs="宋体"/>
                <w:szCs w:val="21"/>
              </w:rPr>
            </w:pPr>
            <w:r>
              <w:rPr>
                <w:rFonts w:ascii="宋体" w:hAnsi="宋体" w:cs="宋体"/>
                <w:szCs w:val="21"/>
              </w:rPr>
              <w:t>6</w:t>
            </w:r>
          </w:p>
        </w:tc>
        <w:tc>
          <w:tcPr>
            <w:tcW w:w="4153" w:type="dxa"/>
          </w:tcPr>
          <w:p>
            <w:pPr>
              <w:spacing w:after="160" w:line="440" w:lineRule="exact"/>
              <w:jc w:val="left"/>
              <w:rPr>
                <w:rFonts w:ascii="宋体" w:hAnsi="宋体" w:cs="宋体"/>
                <w:color w:val="auto"/>
                <w:szCs w:val="21"/>
              </w:rPr>
            </w:pPr>
            <w:r>
              <w:rPr>
                <w:rFonts w:hint="eastAsia" w:ascii="宋体" w:hAnsi="宋体" w:cs="宋体"/>
                <w:color w:val="auto"/>
                <w:szCs w:val="21"/>
              </w:rPr>
              <w:t>（一）评分内容：</w:t>
            </w:r>
          </w:p>
          <w:p>
            <w:pPr>
              <w:spacing w:after="160" w:line="440" w:lineRule="exact"/>
              <w:jc w:val="left"/>
              <w:rPr>
                <w:rFonts w:ascii="宋体" w:hAnsi="宋体" w:cs="宋体"/>
                <w:color w:val="auto"/>
                <w:szCs w:val="21"/>
              </w:rPr>
            </w:pPr>
            <w:r>
              <w:rPr>
                <w:rFonts w:hint="eastAsia" w:ascii="宋体" w:hAnsi="宋体" w:cs="宋体"/>
                <w:color w:val="auto"/>
                <w:szCs w:val="21"/>
              </w:rPr>
              <w:t>供应商提供近三年电子政务监管类或食品安全追溯类业务系统软件开发的合同案例，每一个得</w:t>
            </w:r>
            <w:r>
              <w:rPr>
                <w:rFonts w:ascii="宋体" w:hAnsi="宋体" w:cs="宋体"/>
                <w:color w:val="auto"/>
                <w:szCs w:val="21"/>
              </w:rPr>
              <w:t>2</w:t>
            </w:r>
            <w:r>
              <w:rPr>
                <w:rFonts w:hint="eastAsia" w:ascii="宋体" w:hAnsi="宋体" w:cs="宋体"/>
                <w:color w:val="auto"/>
                <w:szCs w:val="21"/>
              </w:rPr>
              <w:t>分，最多得</w:t>
            </w:r>
            <w:r>
              <w:rPr>
                <w:rFonts w:ascii="宋体" w:hAnsi="宋体" w:cs="宋体"/>
                <w:color w:val="auto"/>
                <w:szCs w:val="21"/>
              </w:rPr>
              <w:t>6</w:t>
            </w:r>
            <w:r>
              <w:rPr>
                <w:rFonts w:hint="eastAsia" w:ascii="宋体" w:hAnsi="宋体" w:cs="宋体"/>
                <w:color w:val="auto"/>
                <w:szCs w:val="21"/>
              </w:rPr>
              <w:t>分。</w:t>
            </w:r>
          </w:p>
          <w:p>
            <w:pPr>
              <w:spacing w:after="160" w:line="440" w:lineRule="exact"/>
              <w:jc w:val="left"/>
              <w:rPr>
                <w:rFonts w:ascii="宋体" w:hAnsi="宋体" w:cs="宋体"/>
                <w:color w:val="auto"/>
                <w:szCs w:val="21"/>
              </w:rPr>
            </w:pPr>
            <w:r>
              <w:rPr>
                <w:rFonts w:hint="eastAsia" w:ascii="宋体" w:hAnsi="宋体" w:cs="宋体"/>
                <w:color w:val="auto"/>
                <w:szCs w:val="21"/>
              </w:rPr>
              <w:t>（要求提供合同关键信息页作为得分依据；以上资料均要求提供扫描件，原件备查）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1324" w:hRule="atLeast"/>
          <w:jc w:val="center"/>
        </w:trPr>
        <w:tc>
          <w:tcPr>
            <w:tcW w:w="676" w:type="dxa"/>
            <w:vMerge w:val="continue"/>
            <w:vAlign w:val="center"/>
          </w:tcPr>
          <w:p>
            <w:pPr>
              <w:spacing w:line="440" w:lineRule="exact"/>
              <w:rPr>
                <w:rFonts w:ascii="宋体" w:hAnsi="宋体" w:cs="宋体"/>
                <w:b/>
                <w:bCs/>
                <w:sz w:val="24"/>
              </w:rPr>
            </w:pPr>
          </w:p>
        </w:tc>
        <w:tc>
          <w:tcPr>
            <w:tcW w:w="675" w:type="dxa"/>
            <w:vAlign w:val="center"/>
          </w:tcPr>
          <w:p>
            <w:pPr>
              <w:wordWrap w:val="0"/>
              <w:spacing w:line="440" w:lineRule="exact"/>
              <w:jc w:val="center"/>
              <w:rPr>
                <w:rFonts w:ascii="宋体" w:hAnsi="宋体" w:cs="宋体"/>
                <w:szCs w:val="21"/>
              </w:rPr>
            </w:pPr>
            <w:r>
              <w:rPr>
                <w:rFonts w:ascii="宋体" w:hAnsi="宋体" w:cs="宋体"/>
                <w:szCs w:val="21"/>
              </w:rPr>
              <w:t>3</w:t>
            </w:r>
          </w:p>
        </w:tc>
        <w:tc>
          <w:tcPr>
            <w:tcW w:w="2792" w:type="dxa"/>
            <w:vAlign w:val="center"/>
          </w:tcPr>
          <w:p>
            <w:pPr>
              <w:wordWrap w:val="0"/>
              <w:spacing w:line="440" w:lineRule="exact"/>
              <w:jc w:val="center"/>
              <w:rPr>
                <w:rFonts w:ascii="宋体" w:hAnsi="宋体" w:cs="宋体"/>
                <w:szCs w:val="21"/>
              </w:rPr>
            </w:pPr>
            <w:r>
              <w:rPr>
                <w:rFonts w:hint="eastAsia" w:ascii="宋体" w:hAnsi="宋体" w:cs="宋体"/>
                <w:szCs w:val="21"/>
              </w:rPr>
              <w:t>供应商自主知识产权</w:t>
            </w:r>
          </w:p>
          <w:p>
            <w:pPr>
              <w:wordWrap w:val="0"/>
              <w:spacing w:line="440" w:lineRule="exact"/>
              <w:jc w:val="center"/>
              <w:rPr>
                <w:rFonts w:ascii="宋体" w:hAnsi="宋体" w:cs="宋体"/>
                <w:szCs w:val="21"/>
              </w:rPr>
            </w:pPr>
            <w:r>
              <w:rPr>
                <w:rFonts w:hint="eastAsia" w:ascii="宋体" w:hAnsi="宋体" w:cs="宋体"/>
                <w:szCs w:val="21"/>
              </w:rPr>
              <w:t>产品情况</w:t>
            </w:r>
          </w:p>
        </w:tc>
        <w:tc>
          <w:tcPr>
            <w:tcW w:w="776" w:type="dxa"/>
            <w:vAlign w:val="center"/>
          </w:tcPr>
          <w:p>
            <w:pPr>
              <w:wordWrap w:val="0"/>
              <w:spacing w:line="440" w:lineRule="exact"/>
              <w:jc w:val="center"/>
              <w:rPr>
                <w:rFonts w:ascii="宋体" w:hAnsi="宋体" w:cs="宋体"/>
                <w:szCs w:val="21"/>
              </w:rPr>
            </w:pPr>
            <w:r>
              <w:rPr>
                <w:rFonts w:ascii="宋体" w:hAnsi="宋体" w:cs="宋体"/>
                <w:szCs w:val="21"/>
              </w:rPr>
              <w:t>10</w:t>
            </w:r>
          </w:p>
        </w:tc>
        <w:tc>
          <w:tcPr>
            <w:tcW w:w="4153" w:type="dxa"/>
          </w:tcPr>
          <w:p>
            <w:pPr>
              <w:spacing w:after="160" w:line="440" w:lineRule="exact"/>
              <w:jc w:val="left"/>
              <w:rPr>
                <w:rFonts w:ascii="宋体" w:hAnsi="宋体" w:cs="宋体"/>
                <w:szCs w:val="21"/>
              </w:rPr>
            </w:pPr>
            <w:r>
              <w:rPr>
                <w:rFonts w:hint="eastAsia" w:ascii="宋体" w:hAnsi="宋体" w:cs="宋体"/>
                <w:szCs w:val="21"/>
              </w:rPr>
              <w:t>1.供应商具有电子政务监管类或食品安全追溯类软件著作权的，每提供一个得1分，最多得</w:t>
            </w:r>
            <w:r>
              <w:rPr>
                <w:rFonts w:ascii="宋体" w:hAnsi="宋体" w:cs="宋体"/>
                <w:szCs w:val="21"/>
              </w:rPr>
              <w:t>5</w:t>
            </w:r>
            <w:r>
              <w:rPr>
                <w:rFonts w:hint="eastAsia" w:ascii="宋体" w:hAnsi="宋体" w:cs="宋体"/>
                <w:szCs w:val="21"/>
              </w:rPr>
              <w:t>分；</w:t>
            </w:r>
          </w:p>
          <w:p>
            <w:pPr>
              <w:spacing w:after="160" w:line="440" w:lineRule="exact"/>
              <w:jc w:val="left"/>
              <w:rPr>
                <w:rFonts w:ascii="宋体" w:hAnsi="宋体" w:cs="宋体"/>
                <w:szCs w:val="21"/>
              </w:rPr>
            </w:pPr>
            <w:r>
              <w:rPr>
                <w:rFonts w:hint="eastAsia" w:ascii="宋体" w:hAnsi="宋体" w:cs="宋体"/>
                <w:szCs w:val="21"/>
              </w:rPr>
              <w:t>2. 供应商具有食品安全跟踪管理软件著作权的，每提供一个得</w:t>
            </w:r>
            <w:r>
              <w:rPr>
                <w:rFonts w:ascii="宋体" w:hAnsi="宋体" w:cs="宋体"/>
                <w:szCs w:val="21"/>
              </w:rPr>
              <w:t>5</w:t>
            </w:r>
            <w:r>
              <w:rPr>
                <w:rFonts w:hint="eastAsia" w:ascii="宋体" w:hAnsi="宋体" w:cs="宋体"/>
                <w:szCs w:val="21"/>
              </w:rPr>
              <w:t>分，最多得</w:t>
            </w:r>
            <w:r>
              <w:rPr>
                <w:rFonts w:ascii="宋体" w:hAnsi="宋体" w:cs="宋体"/>
                <w:szCs w:val="21"/>
              </w:rPr>
              <w:t>5</w:t>
            </w:r>
            <w:r>
              <w:rPr>
                <w:rFonts w:hint="eastAsia" w:ascii="宋体" w:hAnsi="宋体" w:cs="宋体"/>
                <w:szCs w:val="21"/>
              </w:rPr>
              <w:t>分。</w:t>
            </w:r>
          </w:p>
          <w:p>
            <w:pPr>
              <w:spacing w:after="160" w:line="440" w:lineRule="exact"/>
              <w:jc w:val="left"/>
              <w:rPr>
                <w:rFonts w:ascii="宋体" w:hAnsi="宋体" w:cs="宋体"/>
                <w:szCs w:val="21"/>
              </w:rPr>
            </w:pPr>
            <w:r>
              <w:rPr>
                <w:rFonts w:hint="eastAsia" w:ascii="宋体" w:hAnsi="宋体" w:cs="宋体"/>
                <w:szCs w:val="21"/>
              </w:rPr>
              <w:t>（要求提供在本项目招标公告发布日期之前取得的软件著作权证书作为得分依据；以上资料均要求提供扫描件，原件备查）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restart"/>
          </w:tcPr>
          <w:p>
            <w:pPr>
              <w:wordWrap w:val="0"/>
              <w:spacing w:line="440" w:lineRule="exact"/>
              <w:jc w:val="center"/>
              <w:rPr>
                <w:rFonts w:ascii="宋体" w:hAnsi="宋体" w:cs="宋体"/>
                <w:b/>
                <w:bCs/>
                <w:sz w:val="24"/>
              </w:rPr>
            </w:pPr>
            <w:r>
              <w:rPr>
                <w:rFonts w:ascii="宋体" w:hAnsi="宋体" w:cs="宋体"/>
                <w:b/>
                <w:bCs/>
              </w:rPr>
              <w:t>4</w:t>
            </w:r>
          </w:p>
        </w:tc>
        <w:tc>
          <w:tcPr>
            <w:tcW w:w="4243" w:type="dxa"/>
            <w:gridSpan w:val="3"/>
          </w:tcPr>
          <w:p>
            <w:pPr>
              <w:wordWrap w:val="0"/>
              <w:spacing w:line="440" w:lineRule="exact"/>
              <w:jc w:val="center"/>
              <w:rPr>
                <w:rFonts w:ascii="宋体" w:hAnsi="宋体" w:cs="宋体"/>
                <w:szCs w:val="21"/>
              </w:rPr>
            </w:pPr>
            <w:r>
              <w:rPr>
                <w:rFonts w:hint="eastAsia" w:ascii="宋体" w:hAnsi="宋体" w:cs="宋体"/>
                <w:b/>
                <w:bCs/>
              </w:rPr>
              <w:t>诚信情况</w:t>
            </w:r>
          </w:p>
        </w:tc>
        <w:tc>
          <w:tcPr>
            <w:tcW w:w="4153" w:type="dxa"/>
          </w:tcPr>
          <w:p>
            <w:pPr>
              <w:spacing w:line="440" w:lineRule="exact"/>
              <w:jc w:val="center"/>
              <w:rPr>
                <w:rFonts w:ascii="宋体" w:hAnsi="宋体" w:cs="宋体"/>
                <w:szCs w:val="21"/>
              </w:rPr>
            </w:pPr>
            <w:r>
              <w:rPr>
                <w:rFonts w:hint="eastAsia" w:ascii="宋体" w:hAnsi="宋体" w:cs="宋体"/>
                <w:b/>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continue"/>
            <w:vAlign w:val="center"/>
          </w:tcPr>
          <w:p>
            <w:pPr>
              <w:spacing w:line="440" w:lineRule="exact"/>
              <w:jc w:val="center"/>
              <w:rPr>
                <w:rFonts w:ascii="宋体" w:hAnsi="宋体" w:cs="宋体"/>
                <w:b/>
                <w:bCs/>
                <w:sz w:val="24"/>
              </w:rPr>
            </w:pPr>
          </w:p>
        </w:tc>
        <w:tc>
          <w:tcPr>
            <w:tcW w:w="675" w:type="dxa"/>
            <w:vAlign w:val="center"/>
          </w:tcPr>
          <w:p>
            <w:pPr>
              <w:wordWrap w:val="0"/>
              <w:spacing w:line="440" w:lineRule="exact"/>
              <w:jc w:val="center"/>
              <w:rPr>
                <w:rFonts w:ascii="宋体" w:hAnsi="宋体" w:cs="宋体"/>
                <w:szCs w:val="21"/>
              </w:rPr>
            </w:pPr>
            <w:r>
              <w:rPr>
                <w:rFonts w:hint="eastAsia" w:ascii="宋体" w:hAnsi="宋体" w:cs="宋体"/>
                <w:szCs w:val="21"/>
              </w:rPr>
              <w:t>序号</w:t>
            </w:r>
          </w:p>
        </w:tc>
        <w:tc>
          <w:tcPr>
            <w:tcW w:w="2792" w:type="dxa"/>
            <w:vAlign w:val="center"/>
          </w:tcPr>
          <w:p>
            <w:pPr>
              <w:wordWrap w:val="0"/>
              <w:spacing w:line="440" w:lineRule="exact"/>
              <w:jc w:val="center"/>
              <w:rPr>
                <w:rFonts w:ascii="宋体" w:hAnsi="宋体" w:cs="宋体"/>
                <w:szCs w:val="21"/>
              </w:rPr>
            </w:pPr>
            <w:r>
              <w:rPr>
                <w:rFonts w:hint="eastAsia" w:ascii="宋体" w:hAnsi="宋体" w:cs="宋体"/>
                <w:szCs w:val="21"/>
              </w:rPr>
              <w:t>评分因素</w:t>
            </w:r>
          </w:p>
        </w:tc>
        <w:tc>
          <w:tcPr>
            <w:tcW w:w="776" w:type="dxa"/>
            <w:vAlign w:val="center"/>
          </w:tcPr>
          <w:p>
            <w:pPr>
              <w:wordWrap w:val="0"/>
              <w:spacing w:line="440" w:lineRule="exact"/>
              <w:jc w:val="center"/>
              <w:rPr>
                <w:rFonts w:ascii="宋体" w:hAnsi="宋体" w:cs="宋体"/>
                <w:szCs w:val="21"/>
              </w:rPr>
            </w:pPr>
            <w:r>
              <w:rPr>
                <w:rFonts w:hint="eastAsia" w:ascii="宋体" w:hAnsi="宋体" w:cs="宋体"/>
                <w:szCs w:val="21"/>
              </w:rPr>
              <w:t>权重(%)</w:t>
            </w:r>
          </w:p>
        </w:tc>
        <w:tc>
          <w:tcPr>
            <w:tcW w:w="4153" w:type="dxa"/>
            <w:vAlign w:val="center"/>
          </w:tcPr>
          <w:p>
            <w:pPr>
              <w:wordWrap w:val="0"/>
              <w:spacing w:line="440" w:lineRule="exact"/>
              <w:jc w:val="center"/>
              <w:rPr>
                <w:rFonts w:ascii="宋体" w:hAnsi="宋体" w:cs="宋体"/>
                <w:szCs w:val="21"/>
              </w:rPr>
            </w:pPr>
            <w:r>
              <w:rPr>
                <w:rFonts w:hint="eastAsia" w:ascii="宋体" w:hAnsi="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jc w:val="center"/>
        </w:trPr>
        <w:tc>
          <w:tcPr>
            <w:tcW w:w="676" w:type="dxa"/>
            <w:vMerge w:val="continue"/>
          </w:tcPr>
          <w:p>
            <w:pPr>
              <w:spacing w:line="440" w:lineRule="exact"/>
              <w:jc w:val="center"/>
              <w:rPr>
                <w:rFonts w:ascii="宋体" w:hAnsi="宋体" w:cs="宋体"/>
                <w:b/>
                <w:bCs/>
                <w:sz w:val="24"/>
              </w:rPr>
            </w:pPr>
          </w:p>
        </w:tc>
        <w:tc>
          <w:tcPr>
            <w:tcW w:w="675" w:type="dxa"/>
            <w:vAlign w:val="center"/>
          </w:tcPr>
          <w:p>
            <w:pPr>
              <w:wordWrap w:val="0"/>
              <w:spacing w:line="440" w:lineRule="exact"/>
              <w:jc w:val="center"/>
              <w:rPr>
                <w:rFonts w:ascii="宋体" w:hAnsi="宋体" w:cs="宋体"/>
                <w:szCs w:val="21"/>
              </w:rPr>
            </w:pPr>
            <w:r>
              <w:rPr>
                <w:rFonts w:hint="eastAsia" w:ascii="宋体" w:hAnsi="宋体" w:cs="宋体"/>
                <w:szCs w:val="21"/>
              </w:rPr>
              <w:t>1</w:t>
            </w:r>
          </w:p>
        </w:tc>
        <w:tc>
          <w:tcPr>
            <w:tcW w:w="2792" w:type="dxa"/>
            <w:vAlign w:val="center"/>
          </w:tcPr>
          <w:p>
            <w:pPr>
              <w:wordWrap w:val="0"/>
              <w:spacing w:line="440" w:lineRule="exact"/>
              <w:jc w:val="center"/>
              <w:rPr>
                <w:rFonts w:ascii="宋体" w:hAnsi="宋体" w:cs="宋体"/>
                <w:szCs w:val="21"/>
              </w:rPr>
            </w:pPr>
            <w:r>
              <w:rPr>
                <w:rFonts w:hint="eastAsia" w:ascii="宋体" w:hAnsi="宋体" w:cs="宋体"/>
                <w:szCs w:val="21"/>
              </w:rPr>
              <w:t>诚信情况</w:t>
            </w:r>
          </w:p>
        </w:tc>
        <w:tc>
          <w:tcPr>
            <w:tcW w:w="776" w:type="dxa"/>
            <w:vAlign w:val="center"/>
          </w:tcPr>
          <w:p>
            <w:pPr>
              <w:wordWrap w:val="0"/>
              <w:spacing w:line="440" w:lineRule="exact"/>
              <w:jc w:val="center"/>
              <w:rPr>
                <w:rFonts w:ascii="宋体" w:hAnsi="宋体" w:cs="宋体"/>
                <w:szCs w:val="21"/>
              </w:rPr>
            </w:pPr>
            <w:r>
              <w:rPr>
                <w:rFonts w:hint="eastAsia" w:ascii="宋体" w:hAnsi="宋体" w:cs="宋体"/>
                <w:szCs w:val="21"/>
              </w:rPr>
              <w:t>5</w:t>
            </w:r>
          </w:p>
        </w:tc>
        <w:tc>
          <w:tcPr>
            <w:tcW w:w="4153" w:type="dxa"/>
          </w:tcPr>
          <w:p>
            <w:pPr>
              <w:spacing w:line="440" w:lineRule="exact"/>
              <w:jc w:val="left"/>
              <w:rPr>
                <w:rFonts w:ascii="宋体" w:hAnsi="宋体" w:cs="宋体"/>
                <w:szCs w:val="21"/>
              </w:rPr>
            </w:pPr>
            <w:r>
              <w:rPr>
                <w:rFonts w:hint="eastAsia" w:ascii="宋体" w:hAnsi="宋体" w:cs="宋体"/>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114B1"/>
    <w:multiLevelType w:val="singleLevel"/>
    <w:tmpl w:val="9EA114B1"/>
    <w:lvl w:ilvl="0" w:tentative="0">
      <w:start w:val="1"/>
      <w:numFmt w:val="chineseCounting"/>
      <w:suff w:val="nothing"/>
      <w:lvlText w:val="（%1）"/>
      <w:lvlJc w:val="left"/>
      <w:pPr>
        <w:ind w:left="0" w:firstLine="420"/>
      </w:pPr>
      <w:rPr>
        <w:rFonts w:hint="eastAsia"/>
      </w:rPr>
    </w:lvl>
  </w:abstractNum>
  <w:abstractNum w:abstractNumId="1">
    <w:nsid w:val="AEE5F4C2"/>
    <w:multiLevelType w:val="singleLevel"/>
    <w:tmpl w:val="AEE5F4C2"/>
    <w:lvl w:ilvl="0" w:tentative="0">
      <w:start w:val="5"/>
      <w:numFmt w:val="chineseCounting"/>
      <w:suff w:val="nothing"/>
      <w:lvlText w:val="%1、"/>
      <w:lvlJc w:val="left"/>
      <w:rPr>
        <w:rFonts w:hint="eastAsia"/>
      </w:rPr>
    </w:lvl>
  </w:abstractNum>
  <w:abstractNum w:abstractNumId="2">
    <w:nsid w:val="C4FC4F3C"/>
    <w:multiLevelType w:val="singleLevel"/>
    <w:tmpl w:val="C4FC4F3C"/>
    <w:lvl w:ilvl="0" w:tentative="0">
      <w:start w:val="2"/>
      <w:numFmt w:val="chineseCounting"/>
      <w:suff w:val="nothing"/>
      <w:lvlText w:val="（%1）"/>
      <w:lvlJc w:val="left"/>
      <w:rPr>
        <w:rFonts w:hint="eastAsia"/>
      </w:rPr>
    </w:lvl>
  </w:abstractNum>
  <w:abstractNum w:abstractNumId="3">
    <w:nsid w:val="FBBCAE2E"/>
    <w:multiLevelType w:val="singleLevel"/>
    <w:tmpl w:val="FBBCAE2E"/>
    <w:lvl w:ilvl="0" w:tentative="0">
      <w:start w:val="1"/>
      <w:numFmt w:val="chineseCounting"/>
      <w:suff w:val="nothing"/>
      <w:lvlText w:val="（%1）"/>
      <w:lvlJc w:val="left"/>
      <w:pPr>
        <w:ind w:left="1470"/>
      </w:pPr>
      <w:rPr>
        <w:rFonts w:hint="eastAsia"/>
        <w:color w:val="auto"/>
      </w:rPr>
    </w:lvl>
  </w:abstractNum>
  <w:abstractNum w:abstractNumId="4">
    <w:nsid w:val="0889891F"/>
    <w:multiLevelType w:val="singleLevel"/>
    <w:tmpl w:val="0889891F"/>
    <w:lvl w:ilvl="0" w:tentative="0">
      <w:start w:val="2"/>
      <w:numFmt w:val="decimal"/>
      <w:lvlText w:val="%1."/>
      <w:lvlJc w:val="left"/>
      <w:pPr>
        <w:tabs>
          <w:tab w:val="left" w:pos="312"/>
        </w:tabs>
      </w:pPr>
    </w:lvl>
  </w:abstractNum>
  <w:abstractNum w:abstractNumId="5">
    <w:nsid w:val="1F3C76C5"/>
    <w:multiLevelType w:val="multilevel"/>
    <w:tmpl w:val="1F3C76C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37C896BD"/>
    <w:multiLevelType w:val="singleLevel"/>
    <w:tmpl w:val="37C896BD"/>
    <w:lvl w:ilvl="0" w:tentative="0">
      <w:start w:val="1"/>
      <w:numFmt w:val="decimal"/>
      <w:suff w:val="space"/>
      <w:lvlText w:val="%1."/>
      <w:lvlJc w:val="left"/>
    </w:lvl>
  </w:abstractNum>
  <w:abstractNum w:abstractNumId="7">
    <w:nsid w:val="57870EB5"/>
    <w:multiLevelType w:val="multilevel"/>
    <w:tmpl w:val="57870EB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6F7CE152"/>
    <w:multiLevelType w:val="singleLevel"/>
    <w:tmpl w:val="6F7CE152"/>
    <w:lvl w:ilvl="0" w:tentative="0">
      <w:start w:val="1"/>
      <w:numFmt w:val="decimal"/>
      <w:lvlText w:val="%1."/>
      <w:lvlJc w:val="left"/>
      <w:pPr>
        <w:tabs>
          <w:tab w:val="left" w:pos="312"/>
        </w:tabs>
      </w:pPr>
    </w:lvl>
  </w:abstractNum>
  <w:abstractNum w:abstractNumId="9">
    <w:nsid w:val="76EAF6B5"/>
    <w:multiLevelType w:val="singleLevel"/>
    <w:tmpl w:val="76EAF6B5"/>
    <w:lvl w:ilvl="0" w:tentative="0">
      <w:start w:val="1"/>
      <w:numFmt w:val="chineseCounting"/>
      <w:suff w:val="nothing"/>
      <w:lvlText w:val="%1、"/>
      <w:lvlJc w:val="left"/>
      <w:rPr>
        <w:rFonts w:hint="eastAsia"/>
      </w:rPr>
    </w:lvl>
  </w:abstractNum>
  <w:num w:numId="1">
    <w:abstractNumId w:val="9"/>
  </w:num>
  <w:num w:numId="2">
    <w:abstractNumId w:val="3"/>
  </w:num>
  <w:num w:numId="3">
    <w:abstractNumId w:val="0"/>
  </w:num>
  <w:num w:numId="4">
    <w:abstractNumId w:val="5"/>
  </w:num>
  <w:num w:numId="5">
    <w:abstractNumId w:val="7"/>
  </w:num>
  <w:num w:numId="6">
    <w:abstractNumId w:val="2"/>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5MGIwOGNmMmE3ZmFhY2M1YjRhNmQ3Mjc3NmNmMzEifQ=="/>
  </w:docVars>
  <w:rsids>
    <w:rsidRoot w:val="01F575BE"/>
    <w:rsid w:val="00037BE8"/>
    <w:rsid w:val="000911B7"/>
    <w:rsid w:val="0009462B"/>
    <w:rsid w:val="000B4785"/>
    <w:rsid w:val="000D2591"/>
    <w:rsid w:val="00100903"/>
    <w:rsid w:val="001023FB"/>
    <w:rsid w:val="00146000"/>
    <w:rsid w:val="001A4729"/>
    <w:rsid w:val="001B79C2"/>
    <w:rsid w:val="001C36EF"/>
    <w:rsid w:val="0022016A"/>
    <w:rsid w:val="002423EC"/>
    <w:rsid w:val="00254C5A"/>
    <w:rsid w:val="00295B72"/>
    <w:rsid w:val="00372C80"/>
    <w:rsid w:val="0046234E"/>
    <w:rsid w:val="004633D4"/>
    <w:rsid w:val="004D0CDF"/>
    <w:rsid w:val="004D1755"/>
    <w:rsid w:val="00516F45"/>
    <w:rsid w:val="00533EC7"/>
    <w:rsid w:val="005868C1"/>
    <w:rsid w:val="005943A6"/>
    <w:rsid w:val="005E3A71"/>
    <w:rsid w:val="005F7CF8"/>
    <w:rsid w:val="00623A32"/>
    <w:rsid w:val="006C3789"/>
    <w:rsid w:val="006E4A15"/>
    <w:rsid w:val="007231BA"/>
    <w:rsid w:val="007F1B21"/>
    <w:rsid w:val="0084535E"/>
    <w:rsid w:val="00885B4F"/>
    <w:rsid w:val="008E52B8"/>
    <w:rsid w:val="00922228"/>
    <w:rsid w:val="009377CB"/>
    <w:rsid w:val="0095149E"/>
    <w:rsid w:val="00952798"/>
    <w:rsid w:val="009619D3"/>
    <w:rsid w:val="009A40DB"/>
    <w:rsid w:val="009B1390"/>
    <w:rsid w:val="009D5923"/>
    <w:rsid w:val="009D7239"/>
    <w:rsid w:val="00A75CCC"/>
    <w:rsid w:val="00A9148E"/>
    <w:rsid w:val="00AD5DF9"/>
    <w:rsid w:val="00AE2F54"/>
    <w:rsid w:val="00AE55CE"/>
    <w:rsid w:val="00B01D30"/>
    <w:rsid w:val="00B03BE4"/>
    <w:rsid w:val="00B25B72"/>
    <w:rsid w:val="00B4725D"/>
    <w:rsid w:val="00B510EC"/>
    <w:rsid w:val="00B8738B"/>
    <w:rsid w:val="00BC699D"/>
    <w:rsid w:val="00C02FF3"/>
    <w:rsid w:val="00C54626"/>
    <w:rsid w:val="00C61429"/>
    <w:rsid w:val="00C873AA"/>
    <w:rsid w:val="00C97F35"/>
    <w:rsid w:val="00CB7E6E"/>
    <w:rsid w:val="00D6024C"/>
    <w:rsid w:val="00D73776"/>
    <w:rsid w:val="00D75E07"/>
    <w:rsid w:val="00DC5E97"/>
    <w:rsid w:val="00DC7B8F"/>
    <w:rsid w:val="00EB1697"/>
    <w:rsid w:val="00ED27DD"/>
    <w:rsid w:val="00EE484A"/>
    <w:rsid w:val="01D1559E"/>
    <w:rsid w:val="01F575BE"/>
    <w:rsid w:val="02C06CFD"/>
    <w:rsid w:val="0349020D"/>
    <w:rsid w:val="05A50F26"/>
    <w:rsid w:val="06A167C9"/>
    <w:rsid w:val="09383E5F"/>
    <w:rsid w:val="0C36464D"/>
    <w:rsid w:val="0DB20DDC"/>
    <w:rsid w:val="0DCD2DC7"/>
    <w:rsid w:val="0ECE329B"/>
    <w:rsid w:val="0FBD48BA"/>
    <w:rsid w:val="10D022CB"/>
    <w:rsid w:val="10DC36E5"/>
    <w:rsid w:val="124A6D46"/>
    <w:rsid w:val="128215E2"/>
    <w:rsid w:val="19797F16"/>
    <w:rsid w:val="1A7121F0"/>
    <w:rsid w:val="1D8D0320"/>
    <w:rsid w:val="1DC252B4"/>
    <w:rsid w:val="1E4F5A7B"/>
    <w:rsid w:val="1ECA5375"/>
    <w:rsid w:val="1F4F627D"/>
    <w:rsid w:val="21FA56F9"/>
    <w:rsid w:val="22153120"/>
    <w:rsid w:val="237815D0"/>
    <w:rsid w:val="241F657A"/>
    <w:rsid w:val="24C57BC3"/>
    <w:rsid w:val="250D51EC"/>
    <w:rsid w:val="26D44D6F"/>
    <w:rsid w:val="2A564FE8"/>
    <w:rsid w:val="2C081AD4"/>
    <w:rsid w:val="2C836BD0"/>
    <w:rsid w:val="2E536EC1"/>
    <w:rsid w:val="2F5C7FF7"/>
    <w:rsid w:val="306B59F0"/>
    <w:rsid w:val="319C084F"/>
    <w:rsid w:val="325966F2"/>
    <w:rsid w:val="32AB7211"/>
    <w:rsid w:val="336851BD"/>
    <w:rsid w:val="342431E1"/>
    <w:rsid w:val="35FB47A0"/>
    <w:rsid w:val="366AEA1F"/>
    <w:rsid w:val="37A77AAB"/>
    <w:rsid w:val="3A002F75"/>
    <w:rsid w:val="3A6931C0"/>
    <w:rsid w:val="3AF212D8"/>
    <w:rsid w:val="3C3A79C9"/>
    <w:rsid w:val="3C436D43"/>
    <w:rsid w:val="3C6A22DC"/>
    <w:rsid w:val="3C8A375D"/>
    <w:rsid w:val="3D7B6F26"/>
    <w:rsid w:val="3DC456E6"/>
    <w:rsid w:val="433F11B1"/>
    <w:rsid w:val="43591878"/>
    <w:rsid w:val="43B8113A"/>
    <w:rsid w:val="446E1F07"/>
    <w:rsid w:val="457D35AE"/>
    <w:rsid w:val="45C049E4"/>
    <w:rsid w:val="465F750A"/>
    <w:rsid w:val="48BE063D"/>
    <w:rsid w:val="49153299"/>
    <w:rsid w:val="4B7365E9"/>
    <w:rsid w:val="4BBA0128"/>
    <w:rsid w:val="50B50C4D"/>
    <w:rsid w:val="50BB750A"/>
    <w:rsid w:val="524A3FB4"/>
    <w:rsid w:val="53547ADD"/>
    <w:rsid w:val="55BA57DA"/>
    <w:rsid w:val="56ED315F"/>
    <w:rsid w:val="57FD5E65"/>
    <w:rsid w:val="5AD3D99B"/>
    <w:rsid w:val="5B5F5C50"/>
    <w:rsid w:val="5BF851D1"/>
    <w:rsid w:val="5C4908FB"/>
    <w:rsid w:val="5CF52FC9"/>
    <w:rsid w:val="5E9E7641"/>
    <w:rsid w:val="5EF13756"/>
    <w:rsid w:val="62926B0C"/>
    <w:rsid w:val="659D4ABA"/>
    <w:rsid w:val="66340450"/>
    <w:rsid w:val="6942765C"/>
    <w:rsid w:val="6B1F4423"/>
    <w:rsid w:val="6B6043F3"/>
    <w:rsid w:val="6D6F40D8"/>
    <w:rsid w:val="6E4A3B7D"/>
    <w:rsid w:val="6F127110"/>
    <w:rsid w:val="6F69718E"/>
    <w:rsid w:val="6FBE16E5"/>
    <w:rsid w:val="70AE415E"/>
    <w:rsid w:val="72526A4C"/>
    <w:rsid w:val="73E26A5A"/>
    <w:rsid w:val="74206C37"/>
    <w:rsid w:val="74A6220B"/>
    <w:rsid w:val="75C45EB0"/>
    <w:rsid w:val="76D0396F"/>
    <w:rsid w:val="77B86EDF"/>
    <w:rsid w:val="7813315F"/>
    <w:rsid w:val="78295315"/>
    <w:rsid w:val="78AA0581"/>
    <w:rsid w:val="7A0B119E"/>
    <w:rsid w:val="7A6A4943"/>
    <w:rsid w:val="7B2E2DAD"/>
    <w:rsid w:val="7C681D46"/>
    <w:rsid w:val="7D3A4B55"/>
    <w:rsid w:val="7D88089C"/>
    <w:rsid w:val="7DBF6624"/>
    <w:rsid w:val="7E3E09CD"/>
    <w:rsid w:val="7E6C5F0E"/>
    <w:rsid w:val="7F046E7D"/>
    <w:rsid w:val="7F595701"/>
    <w:rsid w:val="7F5A73DC"/>
    <w:rsid w:val="7F8F39AD"/>
    <w:rsid w:val="7FA1716F"/>
    <w:rsid w:val="BDFF00C2"/>
    <w:rsid w:val="F5639568"/>
    <w:rsid w:val="FBB71575"/>
    <w:rsid w:val="FDFFA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3"/>
    <w:next w:val="4"/>
    <w:qFormat/>
    <w:uiPriority w:val="0"/>
    <w:pPr>
      <w:adjustRightInd w:val="0"/>
      <w:jc w:val="center"/>
      <w:textAlignment w:val="baseline"/>
      <w:outlineLvl w:val="1"/>
    </w:pPr>
    <w:rPr>
      <w:kern w:val="0"/>
      <w:sz w:val="24"/>
      <w:szCs w:val="20"/>
    </w:rPr>
  </w:style>
  <w:style w:type="paragraph" w:styleId="3">
    <w:name w:val="heading 3"/>
    <w:basedOn w:val="4"/>
    <w:next w:val="1"/>
    <w:link w:val="27"/>
    <w:qFormat/>
    <w:uiPriority w:val="0"/>
    <w:pPr>
      <w:spacing w:before="260" w:after="260" w:line="240" w:lineRule="auto"/>
      <w:outlineLvl w:val="2"/>
    </w:pPr>
    <w:rPr>
      <w:rFonts w:ascii="宋体" w:hAnsi="宋体" w:eastAsia="宋体"/>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link w:val="38"/>
    <w:semiHidden/>
    <w:qFormat/>
    <w:uiPriority w:val="0"/>
    <w:pPr>
      <w:autoSpaceDE w:val="0"/>
      <w:autoSpaceDN w:val="0"/>
      <w:adjustRightInd w:val="0"/>
      <w:jc w:val="left"/>
      <w:textAlignment w:val="baseline"/>
    </w:pPr>
    <w:rPr>
      <w:rFonts w:ascii="宋体"/>
      <w:kern w:val="0"/>
      <w:sz w:val="34"/>
      <w:szCs w:val="20"/>
    </w:rPr>
  </w:style>
  <w:style w:type="paragraph" w:styleId="7">
    <w:name w:val="Body Text"/>
    <w:basedOn w:val="1"/>
    <w:link w:val="41"/>
    <w:qFormat/>
    <w:uiPriority w:val="1"/>
    <w:pPr>
      <w:spacing w:after="120"/>
    </w:pPr>
  </w:style>
  <w:style w:type="paragraph" w:styleId="8">
    <w:name w:val="Balloon Text"/>
    <w:basedOn w:val="1"/>
    <w:link w:val="40"/>
    <w:qFormat/>
    <w:uiPriority w:val="0"/>
    <w:rPr>
      <w:sz w:val="18"/>
      <w:szCs w:val="18"/>
    </w:rPr>
  </w:style>
  <w:style w:type="paragraph" w:styleId="9">
    <w:name w:val="footer"/>
    <w:basedOn w:val="1"/>
    <w:link w:val="33"/>
    <w:qFormat/>
    <w:uiPriority w:val="0"/>
    <w:pPr>
      <w:tabs>
        <w:tab w:val="center" w:pos="4153"/>
        <w:tab w:val="right" w:pos="8306"/>
      </w:tabs>
      <w:snapToGrid w:val="0"/>
      <w:jc w:val="left"/>
    </w:pPr>
    <w:rPr>
      <w:sz w:val="18"/>
      <w:szCs w:val="18"/>
    </w:rPr>
  </w:style>
  <w:style w:type="paragraph" w:styleId="10">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1">
    <w:name w:val="annotation subject"/>
    <w:basedOn w:val="6"/>
    <w:next w:val="6"/>
    <w:link w:val="39"/>
    <w:qFormat/>
    <w:uiPriority w:val="0"/>
    <w:pPr>
      <w:autoSpaceDE/>
      <w:autoSpaceDN/>
      <w:adjustRightInd/>
      <w:textAlignment w:val="auto"/>
    </w:pPr>
    <w:rPr>
      <w:rFonts w:ascii="Times New Roman"/>
      <w:b/>
      <w:bCs/>
      <w:kern w:val="2"/>
      <w:sz w:val="21"/>
      <w:szCs w:val="24"/>
    </w:rPr>
  </w:style>
  <w:style w:type="character" w:styleId="14">
    <w:name w:val="Strong"/>
    <w:basedOn w:val="13"/>
    <w:qFormat/>
    <w:uiPriority w:val="0"/>
    <w:rPr>
      <w:b/>
      <w:bCs/>
    </w:rPr>
  </w:style>
  <w:style w:type="character" w:styleId="15">
    <w:name w:val="FollowedHyperlink"/>
    <w:basedOn w:val="13"/>
    <w:qFormat/>
    <w:uiPriority w:val="0"/>
    <w:rPr>
      <w:color w:val="5C5C5C"/>
      <w:u w:val="none"/>
    </w:rPr>
  </w:style>
  <w:style w:type="character" w:styleId="16">
    <w:name w:val="Emphasis"/>
    <w:basedOn w:val="13"/>
    <w:qFormat/>
    <w:uiPriority w:val="0"/>
    <w:rPr>
      <w:b/>
      <w:bCs/>
    </w:rPr>
  </w:style>
  <w:style w:type="character" w:styleId="17">
    <w:name w:val="HTML Definition"/>
    <w:basedOn w:val="13"/>
    <w:qFormat/>
    <w:uiPriority w:val="0"/>
  </w:style>
  <w:style w:type="character" w:styleId="18">
    <w:name w:val="HTML Typewriter"/>
    <w:basedOn w:val="13"/>
    <w:qFormat/>
    <w:uiPriority w:val="0"/>
    <w:rPr>
      <w:rFonts w:ascii="monospace" w:hAnsi="monospace" w:eastAsia="monospace" w:cs="monospace"/>
      <w:sz w:val="20"/>
    </w:rPr>
  </w:style>
  <w:style w:type="character" w:styleId="19">
    <w:name w:val="HTML Acronym"/>
    <w:basedOn w:val="13"/>
    <w:qFormat/>
    <w:uiPriority w:val="0"/>
  </w:style>
  <w:style w:type="character" w:styleId="20">
    <w:name w:val="HTML Variable"/>
    <w:basedOn w:val="13"/>
    <w:qFormat/>
    <w:uiPriority w:val="0"/>
  </w:style>
  <w:style w:type="character" w:styleId="21">
    <w:name w:val="Hyperlink"/>
    <w:basedOn w:val="13"/>
    <w:qFormat/>
    <w:uiPriority w:val="0"/>
    <w:rPr>
      <w:color w:val="5C5C5C"/>
      <w:u w:val="none"/>
    </w:rPr>
  </w:style>
  <w:style w:type="character" w:styleId="22">
    <w:name w:val="HTML Code"/>
    <w:basedOn w:val="13"/>
    <w:qFormat/>
    <w:uiPriority w:val="0"/>
    <w:rPr>
      <w:rFonts w:hint="default" w:ascii="monospace" w:hAnsi="monospace" w:eastAsia="monospace" w:cs="monospace"/>
      <w:color w:val="5C5C5C"/>
      <w:sz w:val="18"/>
      <w:szCs w:val="18"/>
      <w:bdr w:val="single" w:color="EBEBEB" w:sz="6" w:space="0"/>
      <w:shd w:val="clear" w:color="auto" w:fill="FFFFFF"/>
    </w:rPr>
  </w:style>
  <w:style w:type="character" w:styleId="23">
    <w:name w:val="annotation reference"/>
    <w:basedOn w:val="13"/>
    <w:qFormat/>
    <w:uiPriority w:val="99"/>
    <w:rPr>
      <w:sz w:val="21"/>
      <w:szCs w:val="21"/>
    </w:rPr>
  </w:style>
  <w:style w:type="character" w:styleId="24">
    <w:name w:val="HTML Cite"/>
    <w:basedOn w:val="13"/>
    <w:qFormat/>
    <w:uiPriority w:val="0"/>
  </w:style>
  <w:style w:type="character" w:styleId="25">
    <w:name w:val="HTML Keyboard"/>
    <w:basedOn w:val="13"/>
    <w:qFormat/>
    <w:uiPriority w:val="0"/>
    <w:rPr>
      <w:rFonts w:hint="default" w:ascii="monospace" w:hAnsi="monospace" w:eastAsia="monospace" w:cs="monospace"/>
      <w:sz w:val="20"/>
    </w:rPr>
  </w:style>
  <w:style w:type="character" w:styleId="26">
    <w:name w:val="HTML Sample"/>
    <w:basedOn w:val="13"/>
    <w:qFormat/>
    <w:uiPriority w:val="0"/>
    <w:rPr>
      <w:rFonts w:hint="default" w:ascii="monospace" w:hAnsi="monospace" w:eastAsia="monospace" w:cs="monospace"/>
    </w:rPr>
  </w:style>
  <w:style w:type="character" w:customStyle="1" w:styleId="27">
    <w:name w:val="标题 3 字符"/>
    <w:link w:val="3"/>
    <w:qFormat/>
    <w:uiPriority w:val="0"/>
    <w:rPr>
      <w:rFonts w:ascii="宋体" w:hAnsi="宋体" w:eastAsia="宋体"/>
      <w:szCs w:val="32"/>
    </w:rPr>
  </w:style>
  <w:style w:type="character" w:customStyle="1" w:styleId="28">
    <w:name w:val="hover"/>
    <w:basedOn w:val="13"/>
    <w:qFormat/>
    <w:uiPriority w:val="0"/>
    <w:rPr>
      <w:color w:val="2590EB"/>
    </w:rPr>
  </w:style>
  <w:style w:type="character" w:customStyle="1" w:styleId="29">
    <w:name w:val="hover1"/>
    <w:basedOn w:val="13"/>
    <w:qFormat/>
    <w:uiPriority w:val="0"/>
  </w:style>
  <w:style w:type="character" w:customStyle="1" w:styleId="30">
    <w:name w:val="hover2"/>
    <w:basedOn w:val="13"/>
    <w:qFormat/>
    <w:uiPriority w:val="0"/>
    <w:rPr>
      <w:color w:val="2590EB"/>
      <w:shd w:val="clear" w:color="auto" w:fill="E9F4FD"/>
    </w:rPr>
  </w:style>
  <w:style w:type="character" w:customStyle="1" w:styleId="31">
    <w:name w:val="hover3"/>
    <w:basedOn w:val="13"/>
    <w:qFormat/>
    <w:uiPriority w:val="0"/>
    <w:rPr>
      <w:color w:val="2590EB"/>
    </w:rPr>
  </w:style>
  <w:style w:type="character" w:customStyle="1" w:styleId="32">
    <w:name w:val="页眉 字符"/>
    <w:basedOn w:val="13"/>
    <w:link w:val="10"/>
    <w:qFormat/>
    <w:uiPriority w:val="0"/>
    <w:rPr>
      <w:kern w:val="2"/>
      <w:sz w:val="18"/>
      <w:szCs w:val="18"/>
    </w:rPr>
  </w:style>
  <w:style w:type="character" w:customStyle="1" w:styleId="33">
    <w:name w:val="页脚 字符"/>
    <w:basedOn w:val="13"/>
    <w:link w:val="9"/>
    <w:qFormat/>
    <w:uiPriority w:val="0"/>
    <w:rPr>
      <w:kern w:val="2"/>
      <w:sz w:val="18"/>
      <w:szCs w:val="18"/>
    </w:rPr>
  </w:style>
  <w:style w:type="paragraph" w:customStyle="1" w:styleId="34">
    <w:name w:val="蓝色模板描述文字"/>
    <w:basedOn w:val="1"/>
    <w:qFormat/>
    <w:uiPriority w:val="0"/>
    <w:pPr>
      <w:widowControl/>
      <w:spacing w:line="360" w:lineRule="auto"/>
      <w:jc w:val="left"/>
    </w:pPr>
    <w:rPr>
      <w:rFonts w:asciiTheme="minorHAnsi" w:hAnsiTheme="minorHAnsi" w:eastAsiaTheme="minorEastAsia" w:cstheme="minorBidi"/>
      <w:i/>
      <w:color w:val="0070C0"/>
      <w:sz w:val="24"/>
      <w:u w:val="single"/>
    </w:rPr>
  </w:style>
  <w:style w:type="paragraph" w:styleId="35">
    <w:name w:val="List Paragraph"/>
    <w:basedOn w:val="1"/>
    <w:qFormat/>
    <w:uiPriority w:val="99"/>
    <w:pPr>
      <w:ind w:firstLine="420" w:firstLineChars="200"/>
    </w:pPr>
  </w:style>
  <w:style w:type="paragraph" w:customStyle="1" w:styleId="36">
    <w:name w:val="文档正文"/>
    <w:basedOn w:val="1"/>
    <w:link w:val="37"/>
    <w:unhideWhenUsed/>
    <w:qFormat/>
    <w:uiPriority w:val="0"/>
    <w:pPr>
      <w:widowControl/>
      <w:snapToGrid w:val="0"/>
      <w:spacing w:before="60" w:after="60" w:line="360" w:lineRule="atLeast"/>
      <w:ind w:firstLine="482"/>
    </w:pPr>
    <w:rPr>
      <w:kern w:val="0"/>
      <w:sz w:val="24"/>
      <w:szCs w:val="20"/>
    </w:rPr>
  </w:style>
  <w:style w:type="character" w:customStyle="1" w:styleId="37">
    <w:name w:val="文档正文 Char"/>
    <w:link w:val="36"/>
    <w:qFormat/>
    <w:uiPriority w:val="0"/>
    <w:rPr>
      <w:sz w:val="24"/>
    </w:rPr>
  </w:style>
  <w:style w:type="character" w:customStyle="1" w:styleId="38">
    <w:name w:val="批注文字 字符"/>
    <w:basedOn w:val="13"/>
    <w:link w:val="6"/>
    <w:semiHidden/>
    <w:qFormat/>
    <w:uiPriority w:val="0"/>
    <w:rPr>
      <w:rFonts w:ascii="宋体"/>
      <w:sz w:val="34"/>
    </w:rPr>
  </w:style>
  <w:style w:type="character" w:customStyle="1" w:styleId="39">
    <w:name w:val="批注主题 字符"/>
    <w:basedOn w:val="38"/>
    <w:link w:val="11"/>
    <w:qFormat/>
    <w:uiPriority w:val="0"/>
    <w:rPr>
      <w:rFonts w:ascii="宋体"/>
      <w:b/>
      <w:bCs/>
      <w:kern w:val="2"/>
      <w:sz w:val="21"/>
      <w:szCs w:val="24"/>
    </w:rPr>
  </w:style>
  <w:style w:type="character" w:customStyle="1" w:styleId="40">
    <w:name w:val="批注框文本 字符"/>
    <w:basedOn w:val="13"/>
    <w:link w:val="8"/>
    <w:qFormat/>
    <w:uiPriority w:val="0"/>
    <w:rPr>
      <w:kern w:val="2"/>
      <w:sz w:val="18"/>
      <w:szCs w:val="18"/>
    </w:rPr>
  </w:style>
  <w:style w:type="character" w:customStyle="1" w:styleId="41">
    <w:name w:val="正文文本 字符"/>
    <w:basedOn w:val="13"/>
    <w:link w:val="7"/>
    <w:qFormat/>
    <w:uiPriority w:val="1"/>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5445</Words>
  <Characters>5563</Characters>
  <Lines>42</Lines>
  <Paragraphs>11</Paragraphs>
  <TotalTime>0</TotalTime>
  <ScaleCrop>false</ScaleCrop>
  <LinksUpToDate>false</LinksUpToDate>
  <CharactersWithSpaces>5591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2022-09-07T10:53:00Z</dcterms:created>
  <dc:creator>liwensong</dc:creator>
  <cp:lastModifiedBy>少枫</cp:lastModifiedBy>
  <dcterms:modified xsi:type="dcterms:W3CDTF">2022-09-20T03:24:03Z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4B85F4C4393F4CF0ADF5FB3F56B91815</vt:lpwstr>
  </property>
</Properties>
</file>