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kern w:val="0"/>
          <w:sz w:val="32"/>
          <w:szCs w:val="32"/>
          <w:lang w:eastAsia="zh-CN"/>
        </w:rPr>
      </w:pPr>
      <w:bookmarkStart w:id="0" w:name="_GoBack"/>
      <w:bookmarkEnd w:id="0"/>
      <w:r>
        <w:rPr>
          <w:rFonts w:hint="eastAsia" w:ascii="黑体" w:hAnsi="黑体" w:eastAsia="黑体" w:cs="黑体"/>
          <w:b w:val="0"/>
          <w:bCs w:val="0"/>
          <w:kern w:val="0"/>
          <w:sz w:val="32"/>
          <w:szCs w:val="32"/>
          <w:lang w:eastAsia="zh-CN"/>
        </w:rPr>
        <w:t>附件</w:t>
      </w:r>
    </w:p>
    <w:p>
      <w:pPr>
        <w:jc w:val="center"/>
        <w:rPr>
          <w:rFonts w:hint="eastAsia" w:ascii="宋体" w:hAnsi="宋体" w:cs="宋体"/>
          <w:b/>
          <w:bCs/>
          <w:kern w:val="0"/>
          <w:sz w:val="36"/>
          <w:szCs w:val="36"/>
        </w:rPr>
      </w:pPr>
      <w:r>
        <w:rPr>
          <w:rFonts w:hint="eastAsia" w:ascii="宋体" w:hAnsi="宋体" w:cs="宋体"/>
          <w:b/>
          <w:bCs/>
          <w:kern w:val="0"/>
          <w:sz w:val="36"/>
          <w:szCs w:val="36"/>
          <w:lang w:eastAsia="zh-CN"/>
        </w:rPr>
        <w:t>2021年度龙岗区人力资源服务产</w:t>
      </w:r>
      <w:r>
        <w:rPr>
          <w:rFonts w:hint="eastAsia" w:ascii="宋体" w:hAnsi="宋体" w:cs="宋体"/>
          <w:b/>
          <w:bCs/>
          <w:kern w:val="0"/>
          <w:sz w:val="36"/>
          <w:szCs w:val="36"/>
        </w:rPr>
        <w:t>业园入驻机构星级评定考核结果</w:t>
      </w:r>
      <w:r>
        <w:rPr>
          <w:rFonts w:hint="eastAsia" w:ascii="宋体" w:hAnsi="宋体" w:cs="宋体"/>
          <w:b/>
          <w:bCs/>
          <w:kern w:val="0"/>
          <w:sz w:val="36"/>
          <w:szCs w:val="36"/>
          <w:lang w:eastAsia="zh-CN"/>
        </w:rPr>
        <w:t>及</w:t>
      </w:r>
      <w:r>
        <w:rPr>
          <w:rFonts w:hint="eastAsia" w:ascii="宋体" w:hAnsi="宋体" w:cs="宋体"/>
          <w:b/>
          <w:bCs/>
          <w:kern w:val="0"/>
          <w:sz w:val="36"/>
          <w:szCs w:val="36"/>
        </w:rPr>
        <w:t>运用</w:t>
      </w:r>
    </w:p>
    <w:tbl>
      <w:tblPr>
        <w:tblStyle w:val="2"/>
        <w:tblW w:w="12878" w:type="dxa"/>
        <w:jc w:val="center"/>
        <w:tblLayout w:type="autofit"/>
        <w:tblCellMar>
          <w:top w:w="0" w:type="dxa"/>
          <w:left w:w="108" w:type="dxa"/>
          <w:bottom w:w="0" w:type="dxa"/>
          <w:right w:w="108" w:type="dxa"/>
        </w:tblCellMar>
      </w:tblPr>
      <w:tblGrid>
        <w:gridCol w:w="660"/>
        <w:gridCol w:w="4215"/>
        <w:gridCol w:w="1290"/>
        <w:gridCol w:w="3255"/>
        <w:gridCol w:w="3458"/>
      </w:tblGrid>
      <w:tr>
        <w:tblPrEx>
          <w:tblCellMar>
            <w:top w:w="0" w:type="dxa"/>
            <w:left w:w="108" w:type="dxa"/>
            <w:bottom w:w="0" w:type="dxa"/>
            <w:right w:w="108" w:type="dxa"/>
          </w:tblCellMar>
        </w:tblPrEx>
        <w:trPr>
          <w:trHeight w:val="649"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b/>
                <w:bCs/>
                <w:kern w:val="0"/>
                <w:sz w:val="21"/>
                <w:szCs w:val="22"/>
              </w:rPr>
            </w:pPr>
            <w:r>
              <w:rPr>
                <w:rFonts w:hint="eastAsia" w:ascii="仿宋_GB2312" w:hAnsi="仿宋_GB2312" w:eastAsia="仿宋_GB2312" w:cs="仿宋_GB2312"/>
                <w:b/>
                <w:bCs/>
                <w:kern w:val="0"/>
                <w:sz w:val="21"/>
                <w:szCs w:val="22"/>
              </w:rPr>
              <w:t>序号</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b/>
                <w:bCs/>
                <w:kern w:val="0"/>
                <w:sz w:val="21"/>
                <w:szCs w:val="22"/>
                <w:lang w:eastAsia="zh-CN"/>
              </w:rPr>
            </w:pPr>
            <w:r>
              <w:rPr>
                <w:rFonts w:hint="eastAsia" w:ascii="仿宋_GB2312" w:hAnsi="仿宋_GB2312" w:eastAsia="仿宋_GB2312" w:cs="仿宋_GB2312"/>
                <w:b/>
                <w:bCs/>
                <w:kern w:val="0"/>
                <w:sz w:val="21"/>
                <w:szCs w:val="22"/>
              </w:rPr>
              <w:t>机构</w:t>
            </w:r>
            <w:r>
              <w:rPr>
                <w:rFonts w:hint="eastAsia" w:ascii="仿宋_GB2312" w:hAnsi="仿宋_GB2312" w:eastAsia="仿宋_GB2312" w:cs="仿宋_GB2312"/>
                <w:b/>
                <w:bCs/>
                <w:kern w:val="0"/>
                <w:sz w:val="21"/>
                <w:szCs w:val="22"/>
                <w:lang w:eastAsia="zh-CN"/>
              </w:rPr>
              <w:t>名称</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b/>
                <w:bCs/>
                <w:color w:val="000000"/>
                <w:kern w:val="0"/>
                <w:sz w:val="21"/>
                <w:szCs w:val="22"/>
              </w:rPr>
            </w:pPr>
            <w:r>
              <w:rPr>
                <w:rFonts w:hint="eastAsia" w:ascii="仿宋_GB2312" w:hAnsi="仿宋_GB2312" w:eastAsia="仿宋_GB2312" w:cs="仿宋_GB2312"/>
                <w:b/>
                <w:bCs/>
                <w:color w:val="000000"/>
                <w:kern w:val="0"/>
                <w:sz w:val="21"/>
                <w:szCs w:val="22"/>
              </w:rPr>
              <w:t>星级评定</w:t>
            </w:r>
          </w:p>
          <w:p>
            <w:pPr>
              <w:widowControl/>
              <w:jc w:val="center"/>
              <w:rPr>
                <w:rFonts w:hint="eastAsia" w:ascii="仿宋_GB2312" w:hAnsi="仿宋_GB2312" w:eastAsia="仿宋_GB2312" w:cs="仿宋_GB2312"/>
                <w:b/>
                <w:bCs/>
                <w:color w:val="000000"/>
                <w:kern w:val="0"/>
                <w:sz w:val="21"/>
                <w:szCs w:val="22"/>
              </w:rPr>
            </w:pPr>
            <w:r>
              <w:rPr>
                <w:rFonts w:hint="eastAsia" w:ascii="仿宋_GB2312" w:hAnsi="仿宋_GB2312" w:eastAsia="仿宋_GB2312" w:cs="仿宋_GB2312"/>
                <w:b/>
                <w:bCs/>
                <w:color w:val="000000"/>
                <w:kern w:val="0"/>
                <w:sz w:val="21"/>
                <w:szCs w:val="22"/>
              </w:rPr>
              <w:t>考核总分</w:t>
            </w:r>
          </w:p>
        </w:tc>
        <w:tc>
          <w:tcPr>
            <w:tcW w:w="325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b/>
                <w:bCs/>
                <w:color w:val="000000"/>
                <w:kern w:val="0"/>
                <w:sz w:val="21"/>
                <w:szCs w:val="22"/>
              </w:rPr>
            </w:pPr>
            <w:r>
              <w:rPr>
                <w:rFonts w:hint="eastAsia" w:ascii="仿宋_GB2312" w:hAnsi="仿宋_GB2312" w:eastAsia="仿宋_GB2312" w:cs="仿宋_GB2312"/>
                <w:b/>
                <w:bCs/>
                <w:color w:val="000000"/>
                <w:kern w:val="0"/>
                <w:sz w:val="21"/>
                <w:szCs w:val="22"/>
              </w:rPr>
              <w:t>考核结果</w:t>
            </w:r>
            <w:r>
              <w:rPr>
                <w:rFonts w:hint="eastAsia" w:ascii="仿宋_GB2312" w:hAnsi="仿宋_GB2312" w:eastAsia="仿宋_GB2312" w:cs="仿宋_GB2312"/>
                <w:b/>
                <w:bCs/>
                <w:color w:val="000000"/>
                <w:kern w:val="0"/>
                <w:sz w:val="21"/>
                <w:szCs w:val="22"/>
                <w:lang w:eastAsia="zh-CN"/>
              </w:rPr>
              <w:t>及</w:t>
            </w:r>
            <w:r>
              <w:rPr>
                <w:rFonts w:hint="eastAsia" w:ascii="仿宋_GB2312" w:hAnsi="仿宋_GB2312" w:eastAsia="仿宋_GB2312" w:cs="仿宋_GB2312"/>
                <w:b/>
                <w:bCs/>
                <w:color w:val="000000"/>
                <w:kern w:val="0"/>
                <w:sz w:val="21"/>
                <w:szCs w:val="22"/>
              </w:rPr>
              <w:t>运用</w:t>
            </w:r>
          </w:p>
        </w:tc>
        <w:tc>
          <w:tcPr>
            <w:tcW w:w="3458"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b/>
                <w:bCs/>
                <w:color w:val="000000"/>
                <w:kern w:val="0"/>
                <w:sz w:val="21"/>
                <w:szCs w:val="22"/>
                <w:lang w:eastAsia="zh-CN"/>
              </w:rPr>
            </w:pPr>
            <w:r>
              <w:rPr>
                <w:rFonts w:hint="eastAsia" w:ascii="仿宋_GB2312" w:hAnsi="仿宋_GB2312" w:eastAsia="仿宋_GB2312" w:cs="仿宋_GB2312"/>
                <w:b/>
                <w:bCs/>
                <w:color w:val="000000"/>
                <w:kern w:val="0"/>
                <w:sz w:val="21"/>
                <w:szCs w:val="22"/>
                <w:lang w:eastAsia="zh-CN"/>
              </w:rPr>
              <w:t>依据</w:t>
            </w:r>
          </w:p>
        </w:tc>
      </w:tr>
      <w:tr>
        <w:tblPrEx>
          <w:tblCellMar>
            <w:top w:w="0" w:type="dxa"/>
            <w:left w:w="108" w:type="dxa"/>
            <w:bottom w:w="0" w:type="dxa"/>
            <w:right w:w="108" w:type="dxa"/>
          </w:tblCellMar>
        </w:tblPrEx>
        <w:trPr>
          <w:trHeight w:val="707"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421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北京外企德科人力资源服务深圳有限公司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rPr>
              <w:t>11</w:t>
            </w:r>
            <w:r>
              <w:rPr>
                <w:rFonts w:hint="eastAsia" w:ascii="仿宋_GB2312" w:hAnsi="仿宋_GB2312" w:eastAsia="仿宋_GB2312" w:cs="仿宋_GB2312"/>
                <w:color w:val="000000"/>
                <w:kern w:val="0"/>
                <w:sz w:val="22"/>
                <w:szCs w:val="22"/>
                <w:lang w:val="en-US" w:eastAsia="zh-CN"/>
              </w:rPr>
              <w:t>5.41</w:t>
            </w:r>
          </w:p>
        </w:tc>
        <w:tc>
          <w:tcPr>
            <w:tcW w:w="3255" w:type="dxa"/>
            <w:vMerge w:val="restart"/>
            <w:tcBorders>
              <w:top w:val="single" w:color="auto" w:sz="4" w:space="0"/>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评定为五星级机构</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授</w:t>
            </w:r>
            <w:r>
              <w:rPr>
                <w:rFonts w:hint="eastAsia" w:ascii="仿宋_GB2312" w:hAnsi="仿宋_GB2312" w:eastAsia="仿宋_GB2312" w:cs="仿宋_GB2312"/>
                <w:color w:val="000000"/>
                <w:kern w:val="0"/>
                <w:sz w:val="22"/>
                <w:szCs w:val="22"/>
                <w:lang w:eastAsia="zh-CN"/>
              </w:rPr>
              <w:t>予</w:t>
            </w:r>
            <w:r>
              <w:rPr>
                <w:rFonts w:hint="eastAsia" w:ascii="仿宋_GB2312" w:hAnsi="仿宋_GB2312" w:eastAsia="仿宋_GB2312" w:cs="仿宋_GB2312"/>
                <w:color w:val="000000"/>
                <w:kern w:val="0"/>
                <w:sz w:val="22"/>
                <w:szCs w:val="22"/>
              </w:rPr>
              <w:t>五星级机构称号，给予10万元经营管理奖励。</w:t>
            </w:r>
          </w:p>
        </w:tc>
        <w:tc>
          <w:tcPr>
            <w:tcW w:w="3458" w:type="dxa"/>
            <w:vMerge w:val="restart"/>
            <w:tcBorders>
              <w:top w:val="single" w:color="auto" w:sz="4" w:space="0"/>
              <w:left w:val="single" w:color="auto" w:sz="4" w:space="0"/>
              <w:right w:val="single" w:color="auto" w:sz="4" w:space="0"/>
            </w:tcBorders>
            <w:shd w:val="clear" w:color="FFFFFF" w:fill="FFFFFF"/>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根据《龙岗区人力资源服务产业园入驻机构星级评定考核制度》第</w:t>
            </w:r>
            <w:r>
              <w:rPr>
                <w:rFonts w:hint="eastAsia" w:ascii="仿宋_GB2312" w:hAnsi="仿宋_GB2312" w:eastAsia="仿宋_GB2312" w:cs="仿宋_GB2312"/>
                <w:sz w:val="22"/>
                <w:szCs w:val="22"/>
                <w:lang w:eastAsia="zh-CN"/>
              </w:rPr>
              <w:t>五章</w:t>
            </w:r>
            <w:r>
              <w:rPr>
                <w:rFonts w:hint="eastAsia" w:ascii="仿宋_GB2312" w:hAnsi="仿宋_GB2312" w:eastAsia="仿宋_GB2312" w:cs="仿宋_GB2312"/>
                <w:sz w:val="22"/>
                <w:szCs w:val="22"/>
              </w:rPr>
              <w:t>规定：“在年度星级评定考核总分达80分且两项基础分均达到单项总分60%以上的机构中排名前10的机构可参与星级机构评定，并根据机构星级评定考核总分及年度综合税费总额划分星级”,年度综合税费总额</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100万元，</w:t>
            </w:r>
            <w:r>
              <w:rPr>
                <w:rFonts w:hint="eastAsia" w:ascii="仿宋_GB2312" w:hAnsi="仿宋_GB2312" w:eastAsia="仿宋_GB2312" w:cs="仿宋_GB2312"/>
                <w:sz w:val="22"/>
                <w:szCs w:val="22"/>
                <w:lang w:eastAsia="zh-CN"/>
              </w:rPr>
              <w:t>且</w:t>
            </w:r>
            <w:r>
              <w:rPr>
                <w:rFonts w:hint="eastAsia" w:ascii="仿宋_GB2312" w:hAnsi="仿宋_GB2312" w:eastAsia="仿宋_GB2312" w:cs="仿宋_GB2312"/>
                <w:sz w:val="22"/>
                <w:szCs w:val="22"/>
              </w:rPr>
              <w:t>考核总分</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80分的可获评三星级；年度综合税费总额</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5</w:t>
            </w:r>
            <w:r>
              <w:rPr>
                <w:rFonts w:hint="eastAsia" w:ascii="仿宋_GB2312" w:hAnsi="仿宋_GB2312" w:eastAsia="仿宋_GB2312" w:cs="仿宋_GB2312"/>
                <w:sz w:val="22"/>
                <w:szCs w:val="22"/>
              </w:rPr>
              <w:t>00万元，</w:t>
            </w:r>
            <w:r>
              <w:rPr>
                <w:rFonts w:hint="eastAsia" w:ascii="仿宋_GB2312" w:hAnsi="仿宋_GB2312" w:eastAsia="仿宋_GB2312" w:cs="仿宋_GB2312"/>
                <w:sz w:val="22"/>
                <w:szCs w:val="22"/>
                <w:lang w:eastAsia="zh-CN"/>
              </w:rPr>
              <w:t>且</w:t>
            </w:r>
            <w:r>
              <w:rPr>
                <w:rFonts w:hint="eastAsia" w:ascii="仿宋_GB2312" w:hAnsi="仿宋_GB2312" w:eastAsia="仿宋_GB2312" w:cs="仿宋_GB2312"/>
                <w:sz w:val="22"/>
                <w:szCs w:val="22"/>
              </w:rPr>
              <w:t>考核总分</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9</w:t>
            </w:r>
            <w:r>
              <w:rPr>
                <w:rFonts w:hint="eastAsia" w:ascii="仿宋_GB2312" w:hAnsi="仿宋_GB2312" w:eastAsia="仿宋_GB2312" w:cs="仿宋_GB2312"/>
                <w:sz w:val="22"/>
                <w:szCs w:val="22"/>
              </w:rPr>
              <w:t>0分的可获评</w:t>
            </w:r>
            <w:r>
              <w:rPr>
                <w:rFonts w:hint="eastAsia" w:ascii="仿宋_GB2312" w:hAnsi="仿宋_GB2312" w:eastAsia="仿宋_GB2312" w:cs="仿宋_GB2312"/>
                <w:sz w:val="22"/>
                <w:szCs w:val="22"/>
                <w:lang w:eastAsia="zh-CN"/>
              </w:rPr>
              <w:t>四</w:t>
            </w:r>
            <w:r>
              <w:rPr>
                <w:rFonts w:hint="eastAsia" w:ascii="仿宋_GB2312" w:hAnsi="仿宋_GB2312" w:eastAsia="仿宋_GB2312" w:cs="仿宋_GB2312"/>
                <w:sz w:val="22"/>
                <w:szCs w:val="22"/>
              </w:rPr>
              <w:t>星级；年度综合税费总额</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8</w:t>
            </w:r>
            <w:r>
              <w:rPr>
                <w:rFonts w:hint="eastAsia" w:ascii="仿宋_GB2312" w:hAnsi="仿宋_GB2312" w:eastAsia="仿宋_GB2312" w:cs="仿宋_GB2312"/>
                <w:sz w:val="22"/>
                <w:szCs w:val="22"/>
              </w:rPr>
              <w:t>00万元，</w:t>
            </w:r>
            <w:r>
              <w:rPr>
                <w:rFonts w:hint="eastAsia" w:ascii="仿宋_GB2312" w:hAnsi="仿宋_GB2312" w:eastAsia="仿宋_GB2312" w:cs="仿宋_GB2312"/>
                <w:sz w:val="22"/>
                <w:szCs w:val="22"/>
                <w:lang w:eastAsia="zh-CN"/>
              </w:rPr>
              <w:t>且</w:t>
            </w:r>
            <w:r>
              <w:rPr>
                <w:rFonts w:hint="eastAsia" w:ascii="仿宋_GB2312" w:hAnsi="仿宋_GB2312" w:eastAsia="仿宋_GB2312" w:cs="仿宋_GB2312"/>
                <w:sz w:val="22"/>
                <w:szCs w:val="22"/>
              </w:rPr>
              <w:t>考核总分</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10</w:t>
            </w:r>
            <w:r>
              <w:rPr>
                <w:rFonts w:hint="eastAsia" w:ascii="仿宋_GB2312" w:hAnsi="仿宋_GB2312" w:eastAsia="仿宋_GB2312" w:cs="仿宋_GB2312"/>
                <w:sz w:val="22"/>
                <w:szCs w:val="22"/>
              </w:rPr>
              <w:t>0分的可获评</w:t>
            </w:r>
            <w:r>
              <w:rPr>
                <w:rFonts w:hint="eastAsia" w:ascii="仿宋_GB2312" w:hAnsi="仿宋_GB2312" w:eastAsia="仿宋_GB2312" w:cs="仿宋_GB2312"/>
                <w:sz w:val="22"/>
                <w:szCs w:val="22"/>
                <w:lang w:eastAsia="zh-CN"/>
              </w:rPr>
              <w:t>五</w:t>
            </w:r>
            <w:r>
              <w:rPr>
                <w:rFonts w:hint="eastAsia" w:ascii="仿宋_GB2312" w:hAnsi="仿宋_GB2312" w:eastAsia="仿宋_GB2312" w:cs="仿宋_GB2312"/>
                <w:sz w:val="22"/>
                <w:szCs w:val="22"/>
              </w:rPr>
              <w:t>星级</w:t>
            </w:r>
            <w:r>
              <w:rPr>
                <w:rFonts w:hint="eastAsia" w:ascii="仿宋_GB2312" w:hAnsi="仿宋_GB2312" w:eastAsia="仿宋_GB2312" w:cs="仿宋_GB2312"/>
                <w:sz w:val="22"/>
                <w:szCs w:val="2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sz w:val="22"/>
                <w:szCs w:val="22"/>
              </w:rPr>
            </w:pPr>
            <w:r>
              <w:rPr>
                <w:rFonts w:hint="eastAsia" w:ascii="仿宋_GB2312" w:hAnsi="仿宋_GB2312" w:eastAsia="仿宋_GB2312" w:cs="仿宋_GB2312"/>
                <w:sz w:val="22"/>
                <w:szCs w:val="22"/>
              </w:rPr>
              <w:t>根据《深圳市龙岗区经济与科技发展专项资金支持人力资源服务业发展实施细则》第七条规定，“在园区年度考核中获评三星级、四星级、五星级的，除授予机构星级称号外，分别给予3万元、6万元、10万元的经营管理奖励，每个机构累计奖励不超过3次。”</w:t>
            </w:r>
          </w:p>
        </w:tc>
      </w:tr>
      <w:tr>
        <w:tblPrEx>
          <w:tblCellMar>
            <w:top w:w="0" w:type="dxa"/>
            <w:left w:w="108" w:type="dxa"/>
            <w:bottom w:w="0" w:type="dxa"/>
            <w:right w:w="108" w:type="dxa"/>
          </w:tblCellMar>
        </w:tblPrEx>
        <w:trPr>
          <w:trHeight w:val="778"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深圳市仁广人力资源有限公司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rPr>
              <w:t>11</w:t>
            </w:r>
            <w:r>
              <w:rPr>
                <w:rFonts w:hint="eastAsia" w:ascii="仿宋_GB2312" w:hAnsi="仿宋_GB2312" w:eastAsia="仿宋_GB2312" w:cs="仿宋_GB2312"/>
                <w:color w:val="000000"/>
                <w:kern w:val="0"/>
                <w:sz w:val="22"/>
                <w:szCs w:val="22"/>
                <w:lang w:val="en-US" w:eastAsia="zh-CN"/>
              </w:rPr>
              <w:t>8.5</w:t>
            </w:r>
          </w:p>
        </w:tc>
        <w:tc>
          <w:tcPr>
            <w:tcW w:w="3255" w:type="dxa"/>
            <w:vMerge w:val="continue"/>
            <w:tcBorders>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1141"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深圳勋厚人力资源有限公司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106.96</w:t>
            </w:r>
          </w:p>
        </w:tc>
        <w:tc>
          <w:tcPr>
            <w:tcW w:w="325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rPr>
              <w:t>评定为</w:t>
            </w:r>
            <w:r>
              <w:rPr>
                <w:rFonts w:hint="eastAsia" w:ascii="仿宋_GB2312" w:hAnsi="仿宋_GB2312" w:eastAsia="仿宋_GB2312" w:cs="仿宋_GB2312"/>
                <w:color w:val="000000"/>
                <w:kern w:val="0"/>
                <w:sz w:val="22"/>
                <w:szCs w:val="22"/>
                <w:lang w:eastAsia="zh-CN"/>
              </w:rPr>
              <w:t>四</w:t>
            </w:r>
            <w:r>
              <w:rPr>
                <w:rFonts w:hint="eastAsia" w:ascii="仿宋_GB2312" w:hAnsi="仿宋_GB2312" w:eastAsia="仿宋_GB2312" w:cs="仿宋_GB2312"/>
                <w:color w:val="000000"/>
                <w:kern w:val="0"/>
                <w:sz w:val="22"/>
                <w:szCs w:val="22"/>
              </w:rPr>
              <w:t>星级机构</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授</w:t>
            </w:r>
            <w:r>
              <w:rPr>
                <w:rFonts w:hint="eastAsia" w:ascii="仿宋_GB2312" w:hAnsi="仿宋_GB2312" w:eastAsia="仿宋_GB2312" w:cs="仿宋_GB2312"/>
                <w:color w:val="000000"/>
                <w:kern w:val="0"/>
                <w:sz w:val="22"/>
                <w:szCs w:val="22"/>
                <w:lang w:eastAsia="zh-CN"/>
              </w:rPr>
              <w:t>予四</w:t>
            </w:r>
            <w:r>
              <w:rPr>
                <w:rFonts w:hint="eastAsia" w:ascii="仿宋_GB2312" w:hAnsi="仿宋_GB2312" w:eastAsia="仿宋_GB2312" w:cs="仿宋_GB2312"/>
                <w:color w:val="000000"/>
                <w:kern w:val="0"/>
                <w:sz w:val="22"/>
                <w:szCs w:val="22"/>
              </w:rPr>
              <w:t>星级机构称号，给予</w:t>
            </w:r>
            <w:r>
              <w:rPr>
                <w:rFonts w:hint="eastAsia" w:ascii="仿宋_GB2312" w:hAnsi="仿宋_GB2312" w:eastAsia="仿宋_GB2312" w:cs="仿宋_GB2312"/>
                <w:color w:val="000000"/>
                <w:kern w:val="0"/>
                <w:sz w:val="22"/>
                <w:szCs w:val="22"/>
                <w:lang w:val="en-US" w:eastAsia="zh-CN"/>
              </w:rPr>
              <w:t>6</w:t>
            </w:r>
            <w:r>
              <w:rPr>
                <w:rFonts w:hint="eastAsia" w:ascii="仿宋_GB2312" w:hAnsi="仿宋_GB2312" w:eastAsia="仿宋_GB2312" w:cs="仿宋_GB2312"/>
                <w:color w:val="000000"/>
                <w:kern w:val="0"/>
                <w:sz w:val="22"/>
                <w:szCs w:val="22"/>
              </w:rPr>
              <w:t>万元经营管理奖励。</w:t>
            </w: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21"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val="en-US" w:eastAsia="zh-CN"/>
              </w:rPr>
              <w:t>4</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深圳桑博人才集团有限公司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110</w:t>
            </w:r>
          </w:p>
        </w:tc>
        <w:tc>
          <w:tcPr>
            <w:tcW w:w="3255" w:type="dxa"/>
            <w:vMerge w:val="restart"/>
            <w:tcBorders>
              <w:top w:val="single" w:color="auto" w:sz="4" w:space="0"/>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kern w:val="0"/>
                <w:sz w:val="22"/>
                <w:szCs w:val="22"/>
              </w:rPr>
              <w:t>评定为</w:t>
            </w:r>
            <w:r>
              <w:rPr>
                <w:rFonts w:hint="eastAsia" w:ascii="仿宋_GB2312" w:hAnsi="仿宋_GB2312" w:eastAsia="仿宋_GB2312" w:cs="仿宋_GB2312"/>
                <w:color w:val="000000"/>
                <w:kern w:val="0"/>
                <w:sz w:val="22"/>
                <w:szCs w:val="22"/>
                <w:lang w:eastAsia="zh-CN"/>
              </w:rPr>
              <w:t>三</w:t>
            </w:r>
            <w:r>
              <w:rPr>
                <w:rFonts w:hint="eastAsia" w:ascii="仿宋_GB2312" w:hAnsi="仿宋_GB2312" w:eastAsia="仿宋_GB2312" w:cs="仿宋_GB2312"/>
                <w:color w:val="000000"/>
                <w:kern w:val="0"/>
                <w:sz w:val="22"/>
                <w:szCs w:val="22"/>
              </w:rPr>
              <w:t>星级机构</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授</w:t>
            </w:r>
            <w:r>
              <w:rPr>
                <w:rFonts w:hint="eastAsia" w:ascii="仿宋_GB2312" w:hAnsi="仿宋_GB2312" w:eastAsia="仿宋_GB2312" w:cs="仿宋_GB2312"/>
                <w:color w:val="000000"/>
                <w:kern w:val="0"/>
                <w:sz w:val="22"/>
                <w:szCs w:val="22"/>
                <w:lang w:eastAsia="zh-CN"/>
              </w:rPr>
              <w:t>予三</w:t>
            </w:r>
            <w:r>
              <w:rPr>
                <w:rFonts w:hint="eastAsia" w:ascii="仿宋_GB2312" w:hAnsi="仿宋_GB2312" w:eastAsia="仿宋_GB2312" w:cs="仿宋_GB2312"/>
                <w:color w:val="000000"/>
                <w:kern w:val="0"/>
                <w:sz w:val="22"/>
                <w:szCs w:val="22"/>
              </w:rPr>
              <w:t>星级机构称号，给予</w:t>
            </w:r>
            <w:r>
              <w:rPr>
                <w:rFonts w:hint="eastAsia" w:ascii="仿宋_GB2312" w:hAnsi="仿宋_GB2312" w:eastAsia="仿宋_GB2312" w:cs="仿宋_GB2312"/>
                <w:color w:val="000000"/>
                <w:kern w:val="0"/>
                <w:sz w:val="22"/>
                <w:szCs w:val="22"/>
                <w:lang w:val="en-US" w:eastAsia="zh-CN"/>
              </w:rPr>
              <w:t>3</w:t>
            </w:r>
            <w:r>
              <w:rPr>
                <w:rFonts w:hint="eastAsia" w:ascii="仿宋_GB2312" w:hAnsi="仿宋_GB2312" w:eastAsia="仿宋_GB2312" w:cs="仿宋_GB2312"/>
                <w:color w:val="000000"/>
                <w:kern w:val="0"/>
                <w:sz w:val="22"/>
                <w:szCs w:val="22"/>
              </w:rPr>
              <w:t>万元经营管理奖励。</w:t>
            </w: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44"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val="en-US" w:eastAsia="zh-CN"/>
              </w:rPr>
              <w:t>5</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深圳市成之恒人力资源有限公司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4</w:t>
            </w:r>
          </w:p>
        </w:tc>
        <w:tc>
          <w:tcPr>
            <w:tcW w:w="3255"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69"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val="en-US" w:eastAsia="zh-CN"/>
              </w:rPr>
              <w:t>6</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深圳市思达优悦企业管理顾问有限公司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93.14</w:t>
            </w:r>
          </w:p>
        </w:tc>
        <w:tc>
          <w:tcPr>
            <w:tcW w:w="3255"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69"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深圳市人创人力资源有限公司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107</w:t>
            </w:r>
          </w:p>
        </w:tc>
        <w:tc>
          <w:tcPr>
            <w:tcW w:w="3255"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04"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深圳市企众人力资源管理咨询有限公司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106</w:t>
            </w:r>
          </w:p>
        </w:tc>
        <w:tc>
          <w:tcPr>
            <w:tcW w:w="3255"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c>
          <w:tcPr>
            <w:tcW w:w="3458" w:type="dxa"/>
            <w:vMerge w:val="continue"/>
            <w:tcBorders>
              <w:left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85" w:hRule="atLeast"/>
          <w:jc w:val="center"/>
        </w:trPr>
        <w:tc>
          <w:tcPr>
            <w:tcW w:w="66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w:t>
            </w:r>
          </w:p>
        </w:tc>
        <w:tc>
          <w:tcPr>
            <w:tcW w:w="4215" w:type="dxa"/>
            <w:tcBorders>
              <w:top w:val="single" w:color="auto" w:sz="4" w:space="0"/>
              <w:left w:val="nil"/>
              <w:bottom w:val="single" w:color="auto" w:sz="4" w:space="0"/>
              <w:right w:val="single" w:color="auto" w:sz="4" w:space="0"/>
            </w:tcBorders>
            <w:shd w:val="clear" w:color="FFFFFF" w:fill="FFFFFF"/>
            <w:noWrap w:val="0"/>
            <w:vAlign w:val="center"/>
          </w:tcPr>
          <w:p>
            <w:pPr>
              <w:jc w:val="lef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深圳市西点探索教育科技有限公司</w:t>
            </w:r>
          </w:p>
        </w:tc>
        <w:tc>
          <w:tcPr>
            <w:tcW w:w="1290"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85.07</w:t>
            </w:r>
          </w:p>
        </w:tc>
        <w:tc>
          <w:tcPr>
            <w:tcW w:w="3255" w:type="dxa"/>
            <w:vMerge w:val="continue"/>
            <w:tcBorders>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c>
          <w:tcPr>
            <w:tcW w:w="3458" w:type="dxa"/>
            <w:vMerge w:val="continue"/>
            <w:tcBorders>
              <w:left w:val="single" w:color="auto" w:sz="4" w:space="0"/>
              <w:bottom w:val="single" w:color="auto" w:sz="4" w:space="0"/>
              <w:right w:val="single" w:color="auto" w:sz="4" w:space="0"/>
            </w:tcBorders>
            <w:shd w:val="clear" w:color="FFFFFF" w:fill="FFFFFF"/>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4"/>
                <w:szCs w:val="24"/>
              </w:rPr>
            </w:pPr>
          </w:p>
        </w:tc>
      </w:tr>
    </w:tbl>
    <w:p/>
    <w:sectPr>
      <w:pgSz w:w="16838" w:h="11906" w:orient="landscape"/>
      <w:pgMar w:top="680" w:right="1440" w:bottom="6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70DFA"/>
    <w:multiLevelType w:val="singleLevel"/>
    <w:tmpl w:val="69970DF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WVkN2VkZTIyOWJiMWEyZDVjNDQzMzE4NzVmN2EifQ=="/>
  </w:docVars>
  <w:rsids>
    <w:rsidRoot w:val="7FC30D45"/>
    <w:rsid w:val="19405976"/>
    <w:rsid w:val="7BFB095C"/>
    <w:rsid w:val="7DD354FC"/>
    <w:rsid w:val="7F9B80D3"/>
    <w:rsid w:val="7FC30D45"/>
    <w:rsid w:val="FFFA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662</Characters>
  <Lines>0</Lines>
  <Paragraphs>0</Paragraphs>
  <TotalTime>4</TotalTime>
  <ScaleCrop>false</ScaleCrop>
  <LinksUpToDate>false</LinksUpToDate>
  <CharactersWithSpaces>662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2022-08-09T02:10:00Z</dcterms:created>
  <dc:creator>amlq</dc:creator>
  <cp:lastModifiedBy>amlq</cp:lastModifiedBy>
  <dcterms:modified xsi:type="dcterms:W3CDTF">2022-08-08T02:27:15Z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9D0116AD67B84A5CB4869A497D58D896</vt:lpwstr>
  </property>
</Properties>
</file>