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：XM20221148）</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北京中医药大学深圳医院（龙岗）关于医用专科材料议价公告</w:t>
      </w:r>
    </w:p>
    <w:p>
      <w:pPr>
        <w:widowControl/>
        <w:jc w:val="left"/>
        <w:rPr>
          <w:rFonts w:hint="eastAsia" w:ascii="楷体_GB2312" w:hAnsi="宋体" w:eastAsia="楷体_GB2312" w:cs="宋体"/>
          <w:sz w:val="24"/>
        </w:rPr>
      </w:pPr>
      <w:r>
        <w:rPr>
          <w:rFonts w:hint="eastAsia" w:ascii="楷体_GB2312" w:hAnsi="宋体" w:eastAsia="楷体_GB2312" w:cs="宋体"/>
          <w:sz w:val="24"/>
          <w:lang w:val="en-US" w:eastAsia="zh-CN"/>
        </w:rPr>
        <w:t>（项目编号：XM20221148）</w:t>
      </w:r>
    </w:p>
    <w:p>
      <w:pPr>
        <w:widowControl/>
        <w:jc w:val="left"/>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8</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8</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8</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12</w:t>
      </w:r>
      <w:r>
        <w:rPr>
          <w:rFonts w:hint="eastAsia" w:ascii="楷体_GB2312" w:hAnsi="宋体" w:eastAsia="楷体_GB2312" w:cs="宋体"/>
          <w:sz w:val="24"/>
          <w:lang w:eastAsia="zh-CN"/>
        </w:rPr>
        <w:t>日下午5：00前进行线上报名，逾期不予受理。</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　　（三）递交资料地点：北京中医药大学深圳医院（龙岗）科教楼招采办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8</w:t>
      </w:r>
      <w:r>
        <w:rPr>
          <w:rFonts w:hint="eastAsia" w:ascii="楷体_GB2312" w:hAnsi="宋体" w:eastAsia="楷体_GB2312" w:cs="宋体"/>
          <w:sz w:val="24"/>
        </w:rPr>
        <w:t>月</w:t>
      </w:r>
      <w:r>
        <w:rPr>
          <w:rFonts w:hint="eastAsia" w:ascii="楷体_GB2312" w:hAnsi="宋体" w:eastAsia="楷体_GB2312" w:cs="宋体"/>
          <w:sz w:val="24"/>
          <w:lang w:val="en-US" w:eastAsia="zh-CN"/>
        </w:rPr>
        <w:t>5</w:t>
      </w:r>
      <w:r>
        <w:rPr>
          <w:rFonts w:hint="eastAsia" w:ascii="楷体_GB2312" w:hAnsi="宋体" w:eastAsia="楷体_GB2312" w:cs="宋体"/>
          <w:sz w:val="24"/>
        </w:rPr>
        <w:t>日</w:t>
      </w: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86"/>
        <w:gridCol w:w="844"/>
        <w:gridCol w:w="1366"/>
        <w:gridCol w:w="1561"/>
        <w:gridCol w:w="3322"/>
        <w:gridCol w:w="1064"/>
        <w:gridCol w:w="1272"/>
        <w:gridCol w:w="1366"/>
        <w:gridCol w:w="1495"/>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包类</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历史采购项目名称（参考）</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历史采购规格型号（参考）</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参数需求</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最高限价（元）</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最高限价单位</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预计未来一年需求量</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1包</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尿液分析试纸条11FA</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0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适用于全自动尿液分析流水线UC-1810+D-1300</w:t>
            </w: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尿液分析试纸条14FA</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人份</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一次性穿刺式尿沉渣管</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0.85</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30000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尿干化学清洗液D21N</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尿干化学清洗液D22</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1000ml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尿液分析用鞘液</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尿有形清洗液D16</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尿液分析质控液UQ-11</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8ml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尿液分析质控液UQ-14（试管装）</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8ml*3</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尿有形成分分析质控液QC-22</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8ml</w:t>
            </w:r>
          </w:p>
        </w:tc>
        <w:tc>
          <w:tcPr>
            <w:tcW w:w="110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检验科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2包</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一次性使用阴道电极</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MLD V1</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48.00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阴道电极</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MLD V2</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盆底肌肉康复器</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MLD K2</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理疗用体表电极</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50mm*50mm</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8.00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理疗用体表电极</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70mm*120mm</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28.00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理疗用体表电极</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乳型72*156</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28.00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人体润滑剂</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45g</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适用于盆底康复治疗仪MLD B4Splus/B4S</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25.00 </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社康中心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20" w:hRule="atLeast"/>
        </w:trPr>
        <w:tc>
          <w:tcPr>
            <w:tcW w:w="4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3包</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膜型血浆成分分离器</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EC-40W</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由中空纤维、O型环、血液出入口、纤维固定材料、外壳、盖子（滤液侧盖子、血浆侧盖子）组成。填充溶液为注射用水。</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本产品为一次性使用产品，灭菌方法为γ射线灭菌。</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2,350.00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肝病科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5"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透析型人工肾一次性使用血液回路导管</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BLS-121-A</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用于血液透析时作为血液通道。</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由动脉侧、静脉侧回路组成，主要部件包括∶ 各种接头、采样口、冲洗分支管、泵管、肝</w:t>
            </w:r>
            <w:r>
              <w:rPr>
                <w:rFonts w:hint="default" w:ascii="Times New Roman" w:hAnsi="Times New Roman" w:eastAsia="宋体" w:cs="Times New Roman"/>
                <w:i w:val="0"/>
                <w:iCs w:val="0"/>
                <w:color w:val="000000"/>
                <w:kern w:val="0"/>
                <w:sz w:val="20"/>
                <w:szCs w:val="20"/>
                <w:u w:val="none"/>
                <w:bdr w:val="none" w:color="auto" w:sz="0" w:space="0"/>
                <w:lang w:val="en-US" w:eastAsia="zh-CN" w:bidi="ar"/>
              </w:rPr>
              <w:t> </w:t>
            </w:r>
            <w:r>
              <w:rPr>
                <w:rStyle w:val="35"/>
                <w:bdr w:val="none" w:color="auto" w:sz="0" w:space="0"/>
                <w:lang w:val="en-US" w:eastAsia="zh-CN" w:bidi="ar"/>
              </w:rPr>
              <w:t>素分支管、气体捕获器、传感器保护器。</w:t>
            </w:r>
            <w:r>
              <w:rPr>
                <w:rStyle w:val="35"/>
                <w:bdr w:val="none" w:color="auto" w:sz="0" w:space="0"/>
                <w:lang w:val="en-US" w:eastAsia="zh-CN" w:bidi="ar"/>
              </w:rPr>
              <w:br w:type="textWrapping"/>
            </w:r>
            <w:r>
              <w:rPr>
                <w:rStyle w:val="35"/>
                <w:bdr w:val="none" w:color="auto" w:sz="0" w:space="0"/>
                <w:lang w:val="en-US" w:eastAsia="zh-CN" w:bidi="ar"/>
              </w:rPr>
              <w:t>材质为医用级高分子材料∶聚氯乙烯、丙烯腈-丁二烯-苯乙烯共聚物"（ABS）、聚碳酸酯、聚甲醛、聚丙烯、聚乙烯。</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400.00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国产</w:t>
            </w:r>
          </w:p>
        </w:tc>
        <w:tc>
          <w:tcPr>
            <w:tcW w:w="46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肝病科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60"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4包</w:t>
            </w: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4-1</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经外周插管的中心静脉导管套件及附件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7617405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适用于短期(短于30天)或长期(超过30天)外周置入中心静脉系统，进行静脉注射治疗或采血。</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1320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4-2</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经外周插管的中心静脉导管套件及附件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0668945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适用于短期(短于30天)或长期(超过30天)外周置入中心静脉系统，进行静脉注射治疗或采血。</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390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4-3</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超声血管导引穿刺套件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900013B01</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超声血管导引穿刺套件与带探头的Site'"Rite*超声系统一起使用对人体血管结构、各种器官和结构中定位超声导引，也可在手术中或经皮进行超声导引。</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161.5</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40</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4-4</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外周插管中心静脉导管套件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8194118</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该产品适用于短期或长期使用，经外周静脉进入中心静脉系统，以便进行静脉注射治疗、造影剂的高压注射，同时还可进行中心静脉压监测。</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3650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4-5</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外周插管中心静脉导管套件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8295118</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该产品适用于短期或长期使用，经外周静脉进入中心静脉系统，以便进行静脉注射治疗、造影剂的高压注射，同时还可进行中心静脉压监测。</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3490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4-6</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经外周插管的中心静脉导管套件及附件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7717305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适用于建立血管通路，可用于采集血液样本以及注入药物或溶液。</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1320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4-7</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经外周插管的中心静脉导管套件及附件</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0668935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适用于建立血管通路，可用于采集血液样本以及注入药物或溶液。</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610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4-8</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经外周穿刺的中心静脉导管</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4134115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适用于短期或长期经外周置入中心静脉系统，进行静脉注射治疗和采血。</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850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460"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2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4-9</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经外周穿刺的中心静脉导管</w:t>
            </w:r>
          </w:p>
        </w:tc>
        <w:tc>
          <w:tcPr>
            <w:tcW w:w="5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4135115</w:t>
            </w:r>
          </w:p>
        </w:tc>
        <w:tc>
          <w:tcPr>
            <w:tcW w:w="11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适用于短期或长期经外周置入中心静脉系统，进行静脉注射治疗和采血。</w:t>
            </w:r>
          </w:p>
        </w:tc>
        <w:tc>
          <w:tcPr>
            <w:tcW w:w="3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850</w:t>
            </w:r>
          </w:p>
        </w:tc>
        <w:tc>
          <w:tcPr>
            <w:tcW w:w="42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套</w:t>
            </w:r>
          </w:p>
        </w:tc>
        <w:tc>
          <w:tcPr>
            <w:tcW w:w="45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1</w:t>
            </w:r>
          </w:p>
        </w:tc>
        <w:tc>
          <w:tcPr>
            <w:tcW w:w="49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进口</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18"/>
                <w:szCs w:val="18"/>
                <w:u w:val="none"/>
              </w:rPr>
            </w:pPr>
            <w:r>
              <w:rPr>
                <w:rFonts w:hint="eastAsia" w:ascii="新宋体" w:hAnsi="新宋体" w:eastAsia="新宋体" w:cs="新宋体"/>
                <w:i w:val="0"/>
                <w:iCs w:val="0"/>
                <w:color w:val="000000"/>
                <w:kern w:val="0"/>
                <w:sz w:val="18"/>
                <w:szCs w:val="18"/>
                <w:u w:val="none"/>
                <w:bdr w:val="none" w:color="auto" w:sz="0" w:space="0"/>
                <w:lang w:val="en-US" w:eastAsia="zh-CN" w:bidi="ar"/>
              </w:rPr>
              <w:t>肿瘤护理组</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16"/>
        <w:ind w:left="0" w:leftChars="0" w:firstLine="0" w:firstLineChars="0"/>
        <w:jc w:val="both"/>
        <w:rPr>
          <w:rFonts w:hint="default"/>
          <w:lang w:val="en-US" w:eastAsia="zh-CN"/>
        </w:rPr>
      </w:pPr>
      <w:r>
        <w:rPr>
          <w:rFonts w:hint="eastAsia" w:ascii="宋体" w:hAnsi="宋体"/>
          <w:b/>
          <w:color w:val="FF0000"/>
          <w:sz w:val="24"/>
          <w:lang w:eastAsia="zh-CN"/>
        </w:rPr>
        <w:t>五、需求单位：北京中医药大学深圳医院（龙岗）。</w:t>
      </w:r>
    </w:p>
    <w:p>
      <w:pPr>
        <w:rPr>
          <w:rFonts w:hint="eastAsia" w:ascii="宋体" w:hAnsi="宋体" w:eastAsia="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六、历史采购项目名称及建议规格作为横向需求参照。</w:t>
      </w:r>
      <w:bookmarkStart w:id="0" w:name="_GoBack"/>
      <w:bookmarkEnd w:id="0"/>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”所列顺序装订，并在每个投标产品材料的右上角编上产品序号和招标目录序号（必须与《投标产品目录采集表》一致，按“产品序号即流水号  ；招标目录序号 ”形式编写，</w:t>
            </w:r>
            <w:r>
              <w:rPr>
                <w:rFonts w:hint="eastAsia"/>
                <w:b/>
                <w:sz w:val="20"/>
                <w:szCs w:val="20"/>
              </w:rPr>
              <w:t>例如：“1</w:t>
            </w:r>
            <w:r>
              <w:rPr>
                <w:rFonts w:hint="eastAsia"/>
                <w:b/>
                <w:sz w:val="20"/>
                <w:szCs w:val="20"/>
                <w:lang w:val="en-US" w:eastAsia="zh-CN"/>
              </w:rPr>
              <w:t>-</w:t>
            </w:r>
            <w:r>
              <w:rPr>
                <w:rFonts w:hint="eastAsia"/>
                <w:b/>
                <w:sz w:val="20"/>
                <w:szCs w:val="20"/>
              </w:rPr>
              <w:t>22”</w:t>
            </w:r>
            <w:r>
              <w:rPr>
                <w:rFonts w:hint="eastAsia"/>
                <w:sz w:val="20"/>
                <w:szCs w:val="20"/>
              </w:rPr>
              <w:t>，可手写）。</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529"/>
        <w:gridCol w:w="940"/>
        <w:gridCol w:w="1042"/>
        <w:gridCol w:w="690"/>
        <w:gridCol w:w="690"/>
        <w:gridCol w:w="732"/>
        <w:gridCol w:w="774"/>
        <w:gridCol w:w="690"/>
        <w:gridCol w:w="858"/>
        <w:gridCol w:w="1384"/>
        <w:gridCol w:w="2003"/>
        <w:gridCol w:w="1216"/>
        <w:gridCol w:w="521"/>
      </w:tblGrid>
      <w:tr>
        <w:tblPrEx>
          <w:tblCellMar>
            <w:top w:w="0" w:type="dxa"/>
            <w:left w:w="108" w:type="dxa"/>
            <w:bottom w:w="0" w:type="dxa"/>
            <w:right w:w="108" w:type="dxa"/>
          </w:tblCellMar>
        </w:tblPrEx>
        <w:trPr>
          <w:trHeight w:val="229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40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配送/售后服务（10分）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1、根据《售后服务响应表》打分，满分5分，负偏离1项扣0.5分，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2、仓库地址，满分5分：                         龙岗设立仓库得5分，深圳市内设立仓库得3分，广东省内深圳市外得1分，其余不得分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6"/>
        <w:numPr>
          <w:ilvl w:val="0"/>
          <w:numId w:val="2"/>
        </w:numPr>
        <w:ind w:left="0" w:leftChars="0" w:firstLine="0" w:firstLineChars="0"/>
        <w:rPr>
          <w:rFonts w:hint="eastAsia"/>
          <w:sz w:val="24"/>
          <w:szCs w:val="24"/>
        </w:rPr>
      </w:pPr>
      <w:r>
        <w:rPr>
          <w:rFonts w:hint="eastAsia" w:ascii="宋体" w:hAnsi="宋体" w:eastAsia="宋体" w:cs="宋体"/>
          <w:i w:val="0"/>
          <w:iCs w:val="0"/>
          <w:color w:val="000000"/>
          <w:kern w:val="0"/>
          <w:sz w:val="24"/>
          <w:szCs w:val="24"/>
          <w:u w:val="none"/>
          <w:lang w:val="en-US" w:eastAsia="zh-CN" w:bidi="ar"/>
        </w:rPr>
        <w:t>打印设置关系表</w:t>
      </w:r>
    </w:p>
    <w:p>
      <w:pPr>
        <w:pStyle w:val="16"/>
        <w:numPr>
          <w:ilvl w:val="0"/>
          <w:numId w:val="2"/>
        </w:numPr>
        <w:ind w:left="0" w:leftChars="0" w:firstLine="0" w:firstLineChars="0"/>
        <w:rPr>
          <w:rFonts w:hint="eastAsia"/>
          <w:sz w:val="24"/>
          <w:szCs w:val="24"/>
        </w:rPr>
      </w:pPr>
      <w:r>
        <w:rPr>
          <w:rFonts w:hint="eastAsia"/>
          <w:sz w:val="24"/>
          <w:szCs w:val="24"/>
        </w:rPr>
        <w:t>售后服务响应表</w:t>
      </w:r>
    </w:p>
    <w:p>
      <w:pPr>
        <w:pStyle w:val="16"/>
        <w:numPr>
          <w:ilvl w:val="0"/>
          <w:numId w:val="2"/>
        </w:numPr>
        <w:ind w:left="0" w:leftChars="0" w:firstLine="0" w:firstLineChars="0"/>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rPr>
        <w:t>住所信息对应证件复印件</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firstLine="180" w:firstLineChars="56"/>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无深圳市阳光平台代码的产品，若有平台代码，将代码上线15天内与我院签署平台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如因我司或代理品牌厂家原因未能在规定时间内成功签订合同，同意北京中医药大学深圳医院（龙岗）取消我司中选资格，原合同可自动失效。</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4）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40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0.5</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20分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5</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3</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广东省内深圳市外得1分，其余不得分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50%以上得10分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abstractNum w:abstractNumId="1">
    <w:nsid w:val="7EEA7A6D"/>
    <w:multiLevelType w:val="singleLevel"/>
    <w:tmpl w:val="7EEA7A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7B30D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1AC12E9"/>
    <w:rsid w:val="02DA1D28"/>
    <w:rsid w:val="036A4909"/>
    <w:rsid w:val="045A3810"/>
    <w:rsid w:val="04C0137C"/>
    <w:rsid w:val="05832C09"/>
    <w:rsid w:val="06F61A7D"/>
    <w:rsid w:val="081B13AB"/>
    <w:rsid w:val="0AF26B57"/>
    <w:rsid w:val="0CE3566F"/>
    <w:rsid w:val="0D72563D"/>
    <w:rsid w:val="0E256A4A"/>
    <w:rsid w:val="0E620EE2"/>
    <w:rsid w:val="0EC23417"/>
    <w:rsid w:val="0EC67C0D"/>
    <w:rsid w:val="0F243DDF"/>
    <w:rsid w:val="0F5A654A"/>
    <w:rsid w:val="100732BC"/>
    <w:rsid w:val="108F20AC"/>
    <w:rsid w:val="10AC1DFC"/>
    <w:rsid w:val="11691807"/>
    <w:rsid w:val="11945656"/>
    <w:rsid w:val="11957EC6"/>
    <w:rsid w:val="11B960F1"/>
    <w:rsid w:val="122D3AC4"/>
    <w:rsid w:val="128D4839"/>
    <w:rsid w:val="13995D87"/>
    <w:rsid w:val="13A81B33"/>
    <w:rsid w:val="141B27F1"/>
    <w:rsid w:val="146641E8"/>
    <w:rsid w:val="147A532B"/>
    <w:rsid w:val="15590BB0"/>
    <w:rsid w:val="15AA17E4"/>
    <w:rsid w:val="161C4232"/>
    <w:rsid w:val="164662C8"/>
    <w:rsid w:val="16AD36D6"/>
    <w:rsid w:val="16C95D7D"/>
    <w:rsid w:val="17EB3E3D"/>
    <w:rsid w:val="18173C84"/>
    <w:rsid w:val="186B06AC"/>
    <w:rsid w:val="1A0E4CA6"/>
    <w:rsid w:val="1A5D7508"/>
    <w:rsid w:val="1AB01369"/>
    <w:rsid w:val="1D694F1B"/>
    <w:rsid w:val="1D6A1F13"/>
    <w:rsid w:val="1E563025"/>
    <w:rsid w:val="1FFD700C"/>
    <w:rsid w:val="20A807D4"/>
    <w:rsid w:val="24097F7B"/>
    <w:rsid w:val="243C79EA"/>
    <w:rsid w:val="24C7565A"/>
    <w:rsid w:val="25BA1937"/>
    <w:rsid w:val="26663961"/>
    <w:rsid w:val="26E214A3"/>
    <w:rsid w:val="2767173F"/>
    <w:rsid w:val="276943B2"/>
    <w:rsid w:val="277315B0"/>
    <w:rsid w:val="28FC2868"/>
    <w:rsid w:val="290556B4"/>
    <w:rsid w:val="2A2839CE"/>
    <w:rsid w:val="2B101769"/>
    <w:rsid w:val="2B5A4552"/>
    <w:rsid w:val="2BAB062C"/>
    <w:rsid w:val="2CEE2624"/>
    <w:rsid w:val="2DA15D2F"/>
    <w:rsid w:val="2DDA2D1B"/>
    <w:rsid w:val="2ED70D0E"/>
    <w:rsid w:val="2EF53ED2"/>
    <w:rsid w:val="2F136BB1"/>
    <w:rsid w:val="2FFE70AB"/>
    <w:rsid w:val="306D4751"/>
    <w:rsid w:val="308A2EA8"/>
    <w:rsid w:val="30B348C3"/>
    <w:rsid w:val="30BB6ADC"/>
    <w:rsid w:val="31027C02"/>
    <w:rsid w:val="33CA5530"/>
    <w:rsid w:val="347F6565"/>
    <w:rsid w:val="34966951"/>
    <w:rsid w:val="356E62BA"/>
    <w:rsid w:val="36830867"/>
    <w:rsid w:val="36967D4F"/>
    <w:rsid w:val="37390CEE"/>
    <w:rsid w:val="387B5A3F"/>
    <w:rsid w:val="38A071A7"/>
    <w:rsid w:val="3A5C6582"/>
    <w:rsid w:val="3B723017"/>
    <w:rsid w:val="3BB30E90"/>
    <w:rsid w:val="3BB44B5F"/>
    <w:rsid w:val="3C46220A"/>
    <w:rsid w:val="3C937993"/>
    <w:rsid w:val="3D581B9C"/>
    <w:rsid w:val="3D7E5628"/>
    <w:rsid w:val="3D804E02"/>
    <w:rsid w:val="3F9E1D54"/>
    <w:rsid w:val="401F17A1"/>
    <w:rsid w:val="40CB60A0"/>
    <w:rsid w:val="42C7547B"/>
    <w:rsid w:val="43BA09C3"/>
    <w:rsid w:val="44790D1E"/>
    <w:rsid w:val="44C164DB"/>
    <w:rsid w:val="44EF5EC4"/>
    <w:rsid w:val="45B8049E"/>
    <w:rsid w:val="45FD1CF9"/>
    <w:rsid w:val="4646736E"/>
    <w:rsid w:val="48274C8F"/>
    <w:rsid w:val="4A610B4B"/>
    <w:rsid w:val="4A782462"/>
    <w:rsid w:val="4C0A4C58"/>
    <w:rsid w:val="4C654FF4"/>
    <w:rsid w:val="4CAE696C"/>
    <w:rsid w:val="4D5D39D3"/>
    <w:rsid w:val="4DBC04A6"/>
    <w:rsid w:val="4E392E7F"/>
    <w:rsid w:val="4EAF7C7E"/>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E41580"/>
    <w:rsid w:val="59063774"/>
    <w:rsid w:val="5B4973B1"/>
    <w:rsid w:val="5BFF5F24"/>
    <w:rsid w:val="5C023C3D"/>
    <w:rsid w:val="5C153BB3"/>
    <w:rsid w:val="5D5A1089"/>
    <w:rsid w:val="5E0E7049"/>
    <w:rsid w:val="5E374CA8"/>
    <w:rsid w:val="5E425200"/>
    <w:rsid w:val="5F004CBA"/>
    <w:rsid w:val="5F2C6FD3"/>
    <w:rsid w:val="610647C6"/>
    <w:rsid w:val="62235498"/>
    <w:rsid w:val="627C1233"/>
    <w:rsid w:val="62EB5430"/>
    <w:rsid w:val="63252F20"/>
    <w:rsid w:val="6328380F"/>
    <w:rsid w:val="647D4CC7"/>
    <w:rsid w:val="65BF5849"/>
    <w:rsid w:val="660C1CCE"/>
    <w:rsid w:val="662231D4"/>
    <w:rsid w:val="664E0CB0"/>
    <w:rsid w:val="669F749A"/>
    <w:rsid w:val="674C1080"/>
    <w:rsid w:val="68BE4527"/>
    <w:rsid w:val="69931944"/>
    <w:rsid w:val="69A235C0"/>
    <w:rsid w:val="69D766E0"/>
    <w:rsid w:val="6A3F4898"/>
    <w:rsid w:val="6AB26DFA"/>
    <w:rsid w:val="6DCD409B"/>
    <w:rsid w:val="6E553663"/>
    <w:rsid w:val="6E676DE8"/>
    <w:rsid w:val="6F5350B5"/>
    <w:rsid w:val="6FFE038C"/>
    <w:rsid w:val="715604BE"/>
    <w:rsid w:val="71947ED4"/>
    <w:rsid w:val="71A5098C"/>
    <w:rsid w:val="722F5C6F"/>
    <w:rsid w:val="72C72385"/>
    <w:rsid w:val="7386251A"/>
    <w:rsid w:val="738B58D2"/>
    <w:rsid w:val="73B378DD"/>
    <w:rsid w:val="74DC1386"/>
    <w:rsid w:val="75236970"/>
    <w:rsid w:val="75D37D5C"/>
    <w:rsid w:val="766F0203"/>
    <w:rsid w:val="76BE496D"/>
    <w:rsid w:val="79FE3DB9"/>
    <w:rsid w:val="7B130AA1"/>
    <w:rsid w:val="7C696F04"/>
    <w:rsid w:val="7C884E48"/>
    <w:rsid w:val="7DBF07B6"/>
    <w:rsid w:val="7E5E11FE"/>
    <w:rsid w:val="7F170D81"/>
    <w:rsid w:val="7F291B64"/>
    <w:rsid w:val="7F9550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qFormat/>
    <w:uiPriority w:val="0"/>
    <w:rPr>
      <w:rFonts w:ascii="宋体" w:hAnsi="Courier New" w:eastAsiaTheme="minorEastAsia" w:cstheme="minorBidi"/>
      <w:szCs w:val="20"/>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0"/>
    <w:rPr>
      <w:color w:val="0000FF"/>
      <w:u w:val="single"/>
    </w:rPr>
  </w:style>
  <w:style w:type="paragraph" w:customStyle="1" w:styleId="16">
    <w:name w:val="_Style 1"/>
    <w:basedOn w:val="1"/>
    <w:qFormat/>
    <w:uiPriority w:val="99"/>
    <w:pPr>
      <w:ind w:firstLine="420" w:firstLineChars="200"/>
    </w:pPr>
  </w:style>
  <w:style w:type="paragraph" w:customStyle="1" w:styleId="17">
    <w:name w:val="表格文字"/>
    <w:basedOn w:val="1"/>
    <w:qFormat/>
    <w:uiPriority w:val="0"/>
    <w:pPr>
      <w:spacing w:before="25" w:after="25" w:line="240" w:lineRule="auto"/>
      <w:ind w:firstLine="0"/>
      <w:jc w:val="left"/>
    </w:pPr>
    <w:rPr>
      <w:bCs/>
      <w:spacing w:val="10"/>
      <w:kern w:val="0"/>
      <w:sz w:val="24"/>
    </w:rPr>
  </w:style>
  <w:style w:type="character" w:customStyle="1" w:styleId="18">
    <w:name w:val="页眉 Char"/>
    <w:basedOn w:val="14"/>
    <w:link w:val="10"/>
    <w:qFormat/>
    <w:uiPriority w:val="99"/>
    <w:rPr>
      <w:sz w:val="18"/>
      <w:szCs w:val="18"/>
    </w:rPr>
  </w:style>
  <w:style w:type="character" w:customStyle="1" w:styleId="19">
    <w:name w:val="页脚 Char"/>
    <w:basedOn w:val="14"/>
    <w:link w:val="9"/>
    <w:qFormat/>
    <w:uiPriority w:val="99"/>
    <w:rPr>
      <w:sz w:val="18"/>
      <w:szCs w:val="18"/>
    </w:rPr>
  </w:style>
  <w:style w:type="character" w:customStyle="1" w:styleId="20">
    <w:name w:val="纯文本 Char"/>
    <w:basedOn w:val="14"/>
    <w:link w:val="8"/>
    <w:qFormat/>
    <w:uiPriority w:val="0"/>
    <w:rPr>
      <w:rFonts w:ascii="宋体" w:hAnsi="Courier New"/>
      <w:szCs w:val="20"/>
    </w:rPr>
  </w:style>
  <w:style w:type="paragraph" w:customStyle="1" w:styleId="21">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qFormat/>
    <w:uiPriority w:val="0"/>
    <w:rPr>
      <w:rFonts w:ascii="Times New Roman" w:hAnsi="Arial" w:eastAsia="宋体" w:cs="Times New Roman"/>
      <w:b/>
      <w:kern w:val="0"/>
      <w:sz w:val="32"/>
      <w:szCs w:val="24"/>
    </w:rPr>
  </w:style>
  <w:style w:type="paragraph" w:styleId="23">
    <w:name w:val="List Paragraph"/>
    <w:basedOn w:val="1"/>
    <w:qFormat/>
    <w:uiPriority w:val="34"/>
    <w:pPr>
      <w:ind w:firstLine="420" w:firstLineChars="200"/>
    </w:pPr>
  </w:style>
  <w:style w:type="paragraph" w:customStyle="1" w:styleId="24">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qFormat/>
    <w:uiPriority w:val="0"/>
    <w:rPr>
      <w:rFonts w:hint="default" w:ascii="Times New Roman" w:hAnsi="Times New Roman" w:cs="Times New Roman"/>
      <w:b/>
      <w:bCs/>
      <w:color w:val="000000"/>
      <w:sz w:val="26"/>
      <w:szCs w:val="26"/>
      <w:u w:val="none"/>
    </w:rPr>
  </w:style>
  <w:style w:type="character" w:customStyle="1" w:styleId="26">
    <w:name w:val="font31"/>
    <w:basedOn w:val="14"/>
    <w:qFormat/>
    <w:uiPriority w:val="0"/>
    <w:rPr>
      <w:rFonts w:hint="eastAsia" w:ascii="宋体" w:hAnsi="宋体" w:eastAsia="宋体" w:cs="宋体"/>
      <w:b/>
      <w:bCs/>
      <w:color w:val="000000"/>
      <w:sz w:val="26"/>
      <w:szCs w:val="26"/>
      <w:u w:val="none"/>
    </w:rPr>
  </w:style>
  <w:style w:type="character" w:customStyle="1" w:styleId="27">
    <w:name w:val="font21"/>
    <w:basedOn w:val="14"/>
    <w:qFormat/>
    <w:uiPriority w:val="0"/>
    <w:rPr>
      <w:rFonts w:hint="default" w:ascii="Times New Roman" w:hAnsi="Times New Roman" w:cs="Times New Roman"/>
      <w:color w:val="000000"/>
      <w:sz w:val="20"/>
      <w:szCs w:val="20"/>
      <w:u w:val="none"/>
    </w:rPr>
  </w:style>
  <w:style w:type="character" w:customStyle="1" w:styleId="28">
    <w:name w:val="font01"/>
    <w:basedOn w:val="14"/>
    <w:qFormat/>
    <w:uiPriority w:val="0"/>
    <w:rPr>
      <w:rFonts w:hint="eastAsia" w:ascii="宋体" w:hAnsi="宋体" w:eastAsia="宋体" w:cs="宋体"/>
      <w:color w:val="FF0000"/>
      <w:sz w:val="20"/>
      <w:szCs w:val="20"/>
      <w:u w:val="none"/>
    </w:rPr>
  </w:style>
  <w:style w:type="character" w:customStyle="1" w:styleId="29">
    <w:name w:val="font51"/>
    <w:basedOn w:val="14"/>
    <w:qFormat/>
    <w:uiPriority w:val="0"/>
    <w:rPr>
      <w:rFonts w:hint="eastAsia" w:ascii="宋体" w:hAnsi="宋体" w:eastAsia="宋体" w:cs="宋体"/>
      <w:color w:val="000000"/>
      <w:sz w:val="20"/>
      <w:szCs w:val="20"/>
      <w:u w:val="none"/>
    </w:rPr>
  </w:style>
  <w:style w:type="character" w:customStyle="1" w:styleId="30">
    <w:name w:val="font61"/>
    <w:basedOn w:val="14"/>
    <w:qFormat/>
    <w:uiPriority w:val="0"/>
    <w:rPr>
      <w:rFonts w:hint="eastAsia" w:ascii="宋体" w:hAnsi="宋体" w:eastAsia="宋体" w:cs="宋体"/>
      <w:b/>
      <w:bCs/>
      <w:color w:val="000000"/>
      <w:sz w:val="22"/>
      <w:szCs w:val="22"/>
      <w:u w:val="none"/>
    </w:rPr>
  </w:style>
  <w:style w:type="character" w:customStyle="1" w:styleId="31">
    <w:name w:val="font81"/>
    <w:basedOn w:val="14"/>
    <w:qFormat/>
    <w:uiPriority w:val="0"/>
    <w:rPr>
      <w:rFonts w:ascii="微软雅黑" w:hAnsi="微软雅黑" w:eastAsia="微软雅黑" w:cs="微软雅黑"/>
      <w:color w:val="000000"/>
      <w:sz w:val="18"/>
      <w:szCs w:val="18"/>
      <w:u w:val="none"/>
    </w:rPr>
  </w:style>
  <w:style w:type="paragraph" w:customStyle="1" w:styleId="32">
    <w:name w:val="纯文本1"/>
    <w:basedOn w:val="1"/>
    <w:qFormat/>
    <w:uiPriority w:val="0"/>
    <w:rPr>
      <w:rFonts w:ascii="宋体" w:hAnsi="Courier New"/>
      <w:szCs w:val="20"/>
    </w:rPr>
  </w:style>
  <w:style w:type="character" w:customStyle="1" w:styleId="33">
    <w:name w:val="font91"/>
    <w:basedOn w:val="14"/>
    <w:qFormat/>
    <w:uiPriority w:val="0"/>
    <w:rPr>
      <w:rFonts w:hint="default" w:ascii="Times New Roman" w:hAnsi="Times New Roman" w:cs="Times New Roman"/>
      <w:color w:val="000000"/>
      <w:sz w:val="18"/>
      <w:szCs w:val="18"/>
      <w:u w:val="none"/>
    </w:rPr>
  </w:style>
  <w:style w:type="character" w:customStyle="1" w:styleId="34">
    <w:name w:val="font121"/>
    <w:basedOn w:val="14"/>
    <w:qFormat/>
    <w:uiPriority w:val="0"/>
    <w:rPr>
      <w:rFonts w:hint="eastAsia" w:ascii="微软雅黑" w:hAnsi="微软雅黑" w:eastAsia="微软雅黑" w:cs="微软雅黑"/>
      <w:i/>
      <w:iCs/>
      <w:color w:val="000000"/>
      <w:sz w:val="20"/>
      <w:szCs w:val="20"/>
      <w:u w:val="none"/>
    </w:rPr>
  </w:style>
  <w:style w:type="character" w:customStyle="1" w:styleId="35">
    <w:name w:val="font41"/>
    <w:basedOn w:val="1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11250</Words>
  <Characters>12011</Characters>
  <Lines>64</Lines>
  <Paragraphs>18</Paragraphs>
  <TotalTime>1</TotalTime>
  <ScaleCrop>false</ScaleCrop>
  <LinksUpToDate>false</LinksUpToDate>
  <CharactersWithSpaces>12656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2022-08-05T03:59:18Z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6F7D5F68E8D34154B9B18477FBC96B5B</vt:lpwstr>
  </property>
  <property fmtid="{D5CDD505-2E9C-101B-9397-08002B2CF9AE}" pid="4" name="commondata">
    <vt:lpwstr>eyJoZGlkIjoiMTc3ZDYxZWIyMzU3ZTQ5Mzc1Y2ViMjBlY2MyYWQ5OGIifQ==</vt:lpwstr>
  </property>
</Properties>
</file>