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</w:rPr>
        <w:t>深圳市龙岗区教育专项资金支持民办教育发展实施细则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征求意见稿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起草说明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为加强我区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用于民办教育发展的教育专项资金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管理，提高专项资金使用效益，根据《中华人民共和国民办教育促进法》《深圳市民办教育管理若干规定》以及龙岗区委区政府的有关精神，结合我区实际，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局起草了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深圳市龙岗区教育专项资金支持民办教育发展实施细则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以下简称实施细则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就起草情况作以下说明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近年来，随着《中华人民共和国预算法》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颁布实施，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财政管理制度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进一步深化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改革，财政政策对规范财政专项资金管理提出了更高的要求，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强调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各部门、各单位是本部门、本单位的预算执行主体，负责本部门、本单位的预算执行，并对执行结果负责。同时，强调改进专项资金项目预算管理，全面实施预算绩效管理。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2021年1月6日，区政府印发《深圳市龙岗区区级财政专项资金管理办法》，明确各资金主管部门是专项资金管理执行部门，负责制定具体的专项资金管理制度。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根据上述相关法律及文件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，在区级财政专项资金管理改革总体框架下，为加强专项资金管理、规范专项资金项目、提高专项资金使用效益，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局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起草了此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项实施细则。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二、编制原则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（一）突出资金主管部门责任主体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根据相关法律要求及文件精神，对财政部门、资金主管部门的职责进行了细化，明确了职责范围，突出了资金主管部门的主体责任。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（二）加强专项资金预算管理与绩效评价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进一步规范细化预算管理、项目管理、绩效管理、监督检查等专项资金管理链条，建立专项资金管理闭环，突出预算管理，全面实施绩效评价。通过细化预算编制、预算规划保障预算执行，提高专项资金预算的科学性与执行率。在预算编制阶段同步明确资金绩效目标，将绩效目标作为专项资金预算执行、项目运行监控和绩效评价的依据，提升专项资金使用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（三）强化资金使用监督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突出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“谁使用，谁负责”，形成相互制约的内控审核流程，加强抽查评价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及监管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工作，及时发现问题，解决问题，保障财政资金依法依规妥善处置。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实施细则共六章十四条，具体包括：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第一章总则，共三条。明确实施细则制定的依据，阐述</w:t>
      </w:r>
    </w:p>
    <w:p>
      <w:pPr>
        <w:pStyle w:val="2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我区用于民办教育发展的教育专项资金的主要用途及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管理原则。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第二章管理职责，共一条。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对照参与专项资金管理使用过程中不同部门、单位承担的事项内容，分别规定各自职责。区财政局为专项资金的统筹协调部门，区教育局是专项资金的管理执行部门，专项资金使用单位负责配合区教育局、区财政局开展专项资金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第三章资金使用范围，共一条。明确专项资金重点用于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民办学校教师长期从教津贴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民办学校教师体检费补贴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新开办学校开办费补助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教师学历达标奖励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名师名校长培养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奖励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课题研究奖励经费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优质学校奖励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特色学校奖励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办学水平评估奖励经费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民办学校教师职称补贴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办学场所续租的租金补贴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购买学位补贴和发放“两免”补贴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结核病健康体检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民办义务教育阶段学校课后服务经费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等十四个项目。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申报条件及审批程序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，共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条。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明确了专项资金的发放条件、审批程序及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</w:rPr>
        <w:t>应按规定的项目和用途专款专用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第五章监督检查，共四条。明确了专项资金的监督方式，违规处罚等。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第六章附则，共一条。明确了实施细则的生效日期及有效期等。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WMxNmNlMjgyY2FlZDhhYzU5NzgzNzNjMzA3YWIifQ=="/>
  </w:docVars>
  <w:rsids>
    <w:rsidRoot w:val="00000000"/>
    <w:rsid w:val="0E285593"/>
    <w:rsid w:val="2A6F4E43"/>
    <w:rsid w:val="3A0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1292</Words>
  <Characters>1295</Characters>
  <Lines>0</Lines>
  <Paragraphs>0</Paragraphs>
  <TotalTime>3</TotalTime>
  <ScaleCrop>false</ScaleCrop>
  <LinksUpToDate>false</LinksUpToDate>
  <CharactersWithSpaces>1295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李张明              </cp:lastModifiedBy>
  <dcterms:modified xsi:type="dcterms:W3CDTF">2022-06-08T09:28:02Z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652FDDE2375C4396B8C74D7B9978659F</vt:lpwstr>
  </property>
</Properties>
</file>