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附件2</w:t>
      </w:r>
    </w:p>
    <w:p>
      <w:pPr>
        <w:pStyle w:val="1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《</w:t>
      </w:r>
      <w:r>
        <w:rPr>
          <w:rFonts w:ascii="方正小标宋简体" w:eastAsia="方正小标宋简体" w:cs="方正小标宋简体" w:hint="eastAsia"/>
          <w:sz w:val="44"/>
          <w:szCs w:val="44"/>
        </w:rPr>
        <w:t>深圳市龙岗区</w:t>
      </w:r>
      <w:r>
        <w:rPr>
          <w:rFonts w:ascii="方正小标宋简体" w:eastAsia="方正小标宋简体" w:cs="方正小标宋简体"/>
          <w:sz w:val="44"/>
          <w:szCs w:val="44"/>
          <w:lang w:val="en-US" w:eastAsia="zh-CN"/>
        </w:rPr>
        <w:t>教育</w:t>
      </w:r>
      <w:r>
        <w:rPr>
          <w:rFonts w:ascii="方正小标宋简体" w:eastAsia="方正小标宋简体" w:cs="方正小标宋简体" w:hint="eastAsia"/>
          <w:sz w:val="44"/>
          <w:szCs w:val="44"/>
        </w:rPr>
        <w:t>专项资金管理办法</w:t>
      </w: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(征求意见稿)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》起草说明</w:t>
      </w:r>
    </w:p>
    <w:p>
      <w:pPr>
        <w:pStyle w:val="1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为加强深圳市龙岗区</w:t>
      </w:r>
      <w:r>
        <w:rPr>
          <w:rFonts w:ascii="仿宋_GB2312" w:eastAsia="仿宋_GB2312" w:cs="仿宋_GB2312"/>
          <w:b w:val="0"/>
          <w:color w:val="000000"/>
          <w:kern w:val="0"/>
          <w:sz w:val="32"/>
          <w:szCs w:val="32"/>
          <w:lang w:eastAsia="zh-CN"/>
          <w:highlight w:val="auto"/>
        </w:rPr>
        <w:t>教育</w:t>
      </w:r>
      <w:r>
        <w:rPr>
          <w:rFonts w:ascii="仿宋_GB2312" w:eastAsia="仿宋_GB2312" w:cs="仿宋_GB2312" w:hint="eastAsia"/>
          <w:b w:val="0"/>
          <w:color w:val="000000"/>
          <w:kern w:val="0"/>
          <w:sz w:val="32"/>
          <w:szCs w:val="32"/>
          <w:lang w:eastAsia="zh-CN"/>
          <w:highlight w:val="auto"/>
        </w:rPr>
        <w:t>专项资金管理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，提高资金使用效益，根据《中华人民共和国预算法》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《广东省省级财政专项资金管理办法（试行）》（粤府〔2018〕120号）、《深圳市市级财政专项资金管理办法》（深府规〔2018〕12号）、《深圳市龙岗区区级财政专项资金管理办法》（深龙府规〔2021〕1号）等有关规定，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教育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局起草了《深圳市龙岗区</w:t>
      </w:r>
      <w:r>
        <w:rPr>
          <w:rFonts w:ascii="仿宋_GB2312" w:eastAsia="仿宋_GB2312" w:cs="仿宋_GB2312"/>
          <w:b w:val="0"/>
          <w:color w:val="000000"/>
          <w:kern w:val="0"/>
          <w:sz w:val="32"/>
          <w:szCs w:val="32"/>
          <w:lang w:eastAsia="zh-CN"/>
          <w:highlight w:val="auto"/>
        </w:rPr>
        <w:t>教育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专项资金管理（征求意见稿）》（以下简称“《办法》”），现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就起草情况作以下说明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黑体" w:eastAsia="黑体" w:cs="黑体" w:hint="eastAsia"/>
          <w:kern w:val="2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kern w:val="2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近年来，随着《中华人民共和国预算法》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颁布实施，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财政管理制度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进一步深化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改革，财政政策对规范财政专项资金管理提出了更高的要求，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强调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各部门、各单位是本部门、本单位的预算执行主体，负责本部门、本单位的预算执行，并对执行结果负责。同时，强调改进专项资金项目预算管理，全面实施预算绩效管理。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2021年1月6日，区政府印发《深圳市龙岗区区级财政专项资金管理办法》，明确各资金主管部门是专项资金管理执行部门，负责制定具体的专项资金管理制度。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根据上述相关法律及文件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要求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，在区级财政专项资金管理改革总体框架下，为加强专项资金管理、规范专项资金项目、提高专项资金使用效益，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val="en-US" w:eastAsia="zh-CN"/>
        </w:rPr>
        <w:t>区</w:t>
      </w:r>
      <w:r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  <w:t>教育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val="en-US" w:eastAsia="zh-CN"/>
        </w:rPr>
        <w:t>局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/>
        </w:rPr>
        <w:t>起草了此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/>
        </w:rPr>
        <w:t>项管理办法。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黑体" w:eastAsia="黑体" w:cs="黑体" w:hint="eastAsia"/>
          <w:kern w:val="2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kern w:val="2"/>
          <w:sz w:val="32"/>
          <w:szCs w:val="32"/>
          <w:lang w:val="en-US" w:eastAsia="zh-CN"/>
        </w:rPr>
        <w:t>编制原则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（一）突出资金主管部门责任主体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根据相关法律要求及文件精神，对财政部门、资金主管部门的职责进行了细化，明确了职责范围，突出了资金主管部门的主体责任。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（二）加强专项资金预算管理与绩效评价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进一步规范细化预算管理、项目管理、绩效管理、监督检查等专项资金管理链条，建立专项资金管理闭环，突出预算管理，全面实施绩效评价。通过细化预算编制、预算规划保障预算执行，提高专项资金预算的科学性与执行率。在预算编制阶段同步明确资金绩效目标，将绩效目标作为专项资金预算执行、项目运行监控和绩效评价的依据，提升专项资金使用效益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（三）强化资金使用监督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1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突出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“谁使用，谁负责”，形成相互制约的内控审核流程，加强抽查评价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及监管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工作，及时发现问题，解决问题，保障财政资金依法依规妥善处置。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ascii="黑体" w:eastAsia="黑体" w:cs="黑体" w:hint="eastAsia"/>
          <w:kern w:val="2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kern w:val="2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《办法》共八章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十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七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第一章总则，共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条。明确《办法》制定的依据，阐述深圳市龙岗区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教育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专项资金的主要用途及管理原则。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Chars="200" w:firstLine="640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第二章职责分工，共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条。对照参与专项资金管理使用过程中不同部门、单位承担的事项内容，分别规定各自职责。区财政局为专项资金的统筹协调部门，区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教育局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是专项资金的管理执行部门，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专项资金使用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单位负责配合区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教育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局、区财政局开展专项资金相关工作</w:t>
      </w:r>
      <w:r>
        <w:rPr>
          <w:rFonts w:ascii="仿宋_GB2312" w:eastAsia="仿宋_GB2312" w:cs="仿宋_GB2312" w:hint="eastAsia"/>
          <w:kern w:val="0"/>
          <w:sz w:val="32"/>
          <w:szCs w:val="32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Chars="200" w:firstLine="640"/>
        <w:jc w:val="both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第三章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使用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范围，共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两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条。明确专项资金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重点用于以下三方面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：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民办教育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发展</w:t>
      </w:r>
      <w:r>
        <w:rPr>
          <w:rFonts w:ascii="仿宋_GB2312" w:eastAsia="仿宋_GB2312" w:cs="仿宋_GB2312"/>
          <w:sz w:val="32"/>
          <w:szCs w:val="32"/>
          <w:lang w:val="en-US" w:eastAsia="zh-CN"/>
          <w:highlight w:val="auto"/>
        </w:rPr>
        <w:t>，教育人才发展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，以及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驻区高校人才发展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第四章预算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管理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五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条。强调预算管理，结合区财政局对预算管理的要求，对专项资金实行目录清单制管理，规定预算编制、预算执行、预算拨付等要求和程序。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第五章项目管理，共五条。确定项目管理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环节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，细化各管理环节内容及要求，包括申报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审核流程和审批程序，为项目管理提供指导性意见，进一步细化、规范项目管理。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第六章绩效管理，共三条。强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调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专项资金的“绩效导向”及绩效闭环管理，规定区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教育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局开展绩效管理工作的内容，提出绩效目标作为专项资金预算执行、绩效运行监控和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事后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绩效评价的重要依据。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第七章监督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检查，共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加强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专项资金项目的监管，对专项资金管理使用过程实施监督检查。规定参与资金管理使用的相关部门、专业机构、申报单位及其工作人员在专项资金申报、使用、审核、管理中的失信或违法违规行为实施联合惩戒，涉嫌犯罪的，依法移送司法机关处理。</w:t>
      </w:r>
    </w:p>
    <w:p>
      <w:pPr>
        <w:pStyle w:val="15"/>
        <w:ind w:firstLineChars="200" w:firstLine="640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第八章附则，共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两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条。明确</w:t>
      </w:r>
      <w:r>
        <w:rPr>
          <w:rFonts w:ascii="仿宋_GB2312" w:eastAsia="仿宋_GB2312" w:cs="仿宋_GB2312"/>
          <w:kern w:val="2"/>
          <w:sz w:val="32"/>
          <w:szCs w:val="32"/>
          <w:lang w:val="en-US" w:eastAsia="zh-CN" w:bidi="ar-SA"/>
        </w:rPr>
        <w:t>解释责任方</w:t>
      </w:r>
      <w:bookmarkStart w:id="0" w:name="_GoBack"/>
      <w:bookmarkEnd w:id="0"/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以及本办法施行日期和有效期限。</w:t>
      </w:r>
    </w:p>
    <w:p>
      <w:pP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04F1E65"/>
    <w:multiLevelType w:val="singleLevel"/>
    <w:tmpl w:val="604F1E65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Body Text"/>
    <w:qFormat/>
    <w:basedOn w:val="0"/>
    <w:rPr>
      <w:rFonts w:ascii="Calibri" w:eastAsia="宋体" w:cs="Times New Roman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81</TotalTime>
  <Application>Yozo_Office27021597764231180</Application>
  <Pages>3</Pages>
  <Words>0</Words>
  <Characters>1137</Characters>
  <Lines>0</Lines>
  <Paragraphs>27</Paragraphs>
  <CharactersWithSpaces>1517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黄菲</dc:creator>
  <cp:lastModifiedBy>Administrator</cp:lastModifiedBy>
  <cp:revision>1</cp:revision>
  <cp:lastPrinted>2022-02-16T08:00:00Z</cp:lastPrinted>
  <dcterms:created xsi:type="dcterms:W3CDTF">2021-04-07T06:49:00Z</dcterms:created>
  <dcterms:modified xsi:type="dcterms:W3CDTF">2022-06-08T04:07:46Z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  <property fmtid="{D5CDD505-2E9C-101B-9397-08002B2CF9AE}" pid="3" name="ICV">
    <vt:lpwstr>D2C9F3066BFA4D87A28B5F2AE39B55BE</vt:lpwstr>
  </property>
</Properties>
</file>