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32"/>
        <w:jc w:val="right"/>
        <w:rPr>
          <w:rFonts w:ascii="Times New Roman" w:hAnsi="Times New Roman" w:eastAsia="仿宋"/>
          <w:b/>
          <w:bCs/>
          <w:color w:val="000000" w:themeColor="text1"/>
          <w:w w:val="95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</w:pPr>
      <w:bookmarkStart w:id="4" w:name="_GoBack"/>
      <w:bookmarkEnd w:id="4"/>
    </w:p>
    <w:p>
      <w:pPr>
        <w:pStyle w:val="2"/>
        <w:rPr>
          <w:rFonts w:ascii="宋体"/>
          <w:b/>
          <w:color w:val="000000" w:themeColor="text1"/>
          <w:sz w:val="26"/>
          <w14:textFill>
            <w14:solidFill>
              <w14:schemeClr w14:val="tx1"/>
            </w14:solidFill>
          </w14:textFill>
        </w:rPr>
      </w:pPr>
    </w:p>
    <w:p>
      <w:pPr>
        <w:ind w:firstLine="1040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ind w:firstLine="1040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ind w:firstLine="0" w:firstLineChars="0"/>
        <w:jc w:val="distribute"/>
        <w:rPr>
          <w:rFonts w:ascii="方正小标宋简体" w:hAnsi="方正小标宋简体" w:eastAsia="方正小标宋简体" w:cs="方正小标宋简体"/>
          <w:bCs/>
          <w:color w:val="000000" w:themeColor="text1"/>
          <w:sz w:val="52"/>
          <w:szCs w:val="5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5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深圳市</w:t>
      </w:r>
      <w:r>
        <w:rPr>
          <w:rFonts w:hint="default" w:ascii="方正小标宋简体" w:hAnsi="方正小标宋简体" w:eastAsia="方正小标宋简体" w:cs="方正小标宋简体"/>
          <w:bCs/>
          <w:color w:val="000000" w:themeColor="text1"/>
          <w:w w:val="95"/>
          <w:sz w:val="52"/>
          <w:szCs w:val="52"/>
          <w14:textFill>
            <w14:solidFill>
              <w14:schemeClr w14:val="tx1"/>
            </w14:solidFill>
          </w14:textFill>
        </w:rPr>
        <w:t>龙岗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5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区人民政府</w:t>
      </w:r>
    </w:p>
    <w:p>
      <w:pPr>
        <w:adjustRightInd w:val="0"/>
        <w:snapToGrid w:val="0"/>
        <w:ind w:firstLine="0" w:firstLineChars="0"/>
        <w:jc w:val="distribute"/>
        <w:rPr>
          <w:rFonts w:ascii="方正小标宋简体" w:hAnsi="方正小标宋简体" w:eastAsia="方正小标宋简体" w:cs="方正小标宋简体"/>
          <w:bCs/>
          <w:color w:val="000000" w:themeColor="text1"/>
          <w:sz w:val="52"/>
          <w:szCs w:val="5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5"/>
          <w:sz w:val="52"/>
          <w:szCs w:val="52"/>
          <w:lang w:val="en-US"/>
          <w14:textFill>
            <w14:solidFill>
              <w14:schemeClr w14:val="tx1"/>
            </w14:solidFill>
          </w14:textFill>
        </w:rPr>
        <w:t>深圳交易集团有限公司</w:t>
      </w:r>
    </w:p>
    <w:p>
      <w:pPr>
        <w:ind w:firstLine="836"/>
        <w:jc w:val="center"/>
        <w:rPr>
          <w:rFonts w:ascii="方正小标宋_GBK" w:hAnsi="方正小标宋_GBK" w:eastAsia="方正小标宋_GBK" w:cs="方正小标宋_GBK"/>
          <w:b/>
          <w:color w:val="000000" w:themeColor="text1"/>
          <w:w w:val="95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2423" w:firstLine="608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2423" w:firstLine="608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2423" w:firstLine="608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2423" w:firstLine="0" w:firstLineChars="0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2423" w:firstLine="0" w:firstLineChars="0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jc w:val="center"/>
        <w:rPr>
          <w:rFonts w:ascii="方正小标宋简体" w:eastAsia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战略合作框架协议</w:t>
      </w:r>
    </w:p>
    <w:p>
      <w:pPr>
        <w:ind w:right="2423" w:firstLine="0" w:firstLineChars="0"/>
        <w:jc w:val="center"/>
        <w:rPr>
          <w:rFonts w:hint="eastAsia" w:ascii="楷体_GB2312" w:hAnsi="楷体_GB2312" w:eastAsia="楷体_GB2312" w:cs="楷体_GB2312"/>
          <w:b w:val="0"/>
          <w:bCs/>
          <w:color w:val="000000" w:themeColor="text1"/>
          <w:w w:val="9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/>
          <w:b/>
          <w:color w:val="000000" w:themeColor="text1"/>
          <w:w w:val="95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w w:val="95"/>
          <w:lang w:val="en-US"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ind w:right="2423" w:firstLine="0" w:firstLineChars="0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2423" w:firstLine="0" w:firstLineChars="0"/>
        <w:jc w:val="center"/>
        <w:rPr>
          <w:rFonts w:ascii="宋体" w:eastAsia="宋体"/>
          <w:b/>
          <w:color w:val="000000" w:themeColor="text1"/>
          <w:w w:val="95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"/>
        <w:ind w:firstLine="0" w:firstLineChars="0"/>
        <w:jc w:val="center"/>
        <w:rPr>
          <w:rFonts w:ascii="宋体"/>
          <w:b/>
          <w:color w:val="000000" w:themeColor="text1"/>
          <w:sz w:val="26"/>
          <w14:textFill>
            <w14:solidFill>
              <w14:schemeClr w14:val="tx1"/>
            </w14:solidFill>
          </w14:textFill>
        </w:rPr>
      </w:pPr>
    </w:p>
    <w:p>
      <w:pPr>
        <w:spacing w:before="1"/>
        <w:ind w:right="189" w:rightChars="59" w:firstLine="0" w:firstLineChars="0"/>
        <w:jc w:val="center"/>
        <w:rPr>
          <w:rFonts w:ascii="Times New Roman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5" w:right="189" w:rightChars="59" w:firstLine="3184" w:firstLineChars="1327"/>
        <w:jc w:val="center"/>
        <w:rPr>
          <w:rFonts w:asci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utoSpaceDE/>
        <w:autoSpaceDN/>
        <w:ind w:firstLine="0" w:firstLineChars="0"/>
        <w:rPr>
          <w:rFonts w:asci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440" w:right="1800" w:bottom="1440" w:left="1800" w:header="720" w:footer="1200" w:gutter="0"/>
          <w:cols w:space="720" w:num="1"/>
          <w:docGrid w:linePitch="435" w:charSpace="0"/>
        </w:sectPr>
      </w:pPr>
    </w:p>
    <w:p>
      <w:pPr>
        <w:pStyle w:val="2"/>
        <w:ind w:firstLine="560"/>
        <w:rPr>
          <w:color w:val="000000" w:themeColor="text1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rFonts w:hint="eastAsia" w:ascii="仿宋_GB2312" w:hAnsi="仿宋_GB2312" w:cs="仿宋_GB2312"/>
          <w:b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甲方：</w:t>
      </w:r>
      <w:r>
        <w:rPr>
          <w:rFonts w:hint="eastAsia" w:ascii="仿宋_GB2312" w:hAnsi="仿宋_GB2312" w:cs="仿宋_GB2312"/>
          <w:b/>
          <w:color w:val="000000" w:themeColor="text1"/>
          <w:lang w:val="en-US"/>
          <w14:textFill>
            <w14:solidFill>
              <w14:schemeClr w14:val="tx1"/>
            </w14:solidFill>
          </w14:textFill>
        </w:rPr>
        <w:t>深圳市</w:t>
      </w:r>
      <w:r>
        <w:rPr>
          <w:rFonts w:hint="eastAsia" w:ascii="仿宋_GB2312" w:hAnsi="仿宋_GB2312" w:cs="仿宋_GB2312"/>
          <w:b/>
          <w:color w:val="000000" w:themeColor="text1"/>
          <w14:textFill>
            <w14:solidFill>
              <w14:schemeClr w14:val="tx1"/>
            </w14:solidFill>
          </w14:textFill>
        </w:rPr>
        <w:t>龙岗</w:t>
      </w:r>
      <w:r>
        <w:rPr>
          <w:rFonts w:hint="eastAsia" w:ascii="仿宋_GB2312" w:hAnsi="仿宋_GB2312" w:cs="仿宋_GB2312"/>
          <w:b/>
          <w:color w:val="000000" w:themeColor="text1"/>
          <w:lang w:val="en-US"/>
          <w14:textFill>
            <w14:solidFill>
              <w14:schemeClr w14:val="tx1"/>
            </w14:solidFill>
          </w14:textFill>
        </w:rPr>
        <w:t>区人民政府</w:t>
      </w:r>
    </w:p>
    <w:p>
      <w:pPr>
        <w:adjustRightInd w:val="0"/>
        <w:snapToGrid w:val="0"/>
        <w:ind w:firstLine="0" w:firstLineChars="0"/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地址：广东省深圳市龙岗区龙翔大道8033号</w:t>
      </w:r>
    </w:p>
    <w:p>
      <w:pPr>
        <w:adjustRightInd w:val="0"/>
        <w:snapToGrid w:val="0"/>
        <w:ind w:firstLine="0" w:firstLineChars="0"/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法定代表人：王策飞</w:t>
      </w:r>
    </w:p>
    <w:p>
      <w:pPr>
        <w:pStyle w:val="2"/>
        <w:ind w:firstLine="560"/>
        <w:rPr>
          <w:rFonts w:hint="eastAsia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rPr>
          <w:rFonts w:hint="eastAsia" w:cs="仿宋_GB2312"/>
          <w:b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乙方：</w:t>
      </w:r>
      <w:r>
        <w:rPr>
          <w:rFonts w:hint="eastAsia" w:ascii="仿宋_GB2312" w:hAnsi="仿宋_GB2312" w:cs="仿宋_GB2312"/>
          <w:b/>
          <w:color w:val="000000" w:themeColor="text1"/>
          <w14:textFill>
            <w14:solidFill>
              <w14:schemeClr w14:val="tx1"/>
            </w14:solidFill>
          </w14:textFill>
        </w:rPr>
        <w:t>深圳交易集团有限公司</w:t>
      </w:r>
    </w:p>
    <w:p>
      <w:pPr>
        <w:adjustRightInd w:val="0"/>
        <w:snapToGrid w:val="0"/>
        <w:ind w:firstLine="0" w:firstLineChars="0"/>
        <w:rPr>
          <w:rFonts w:hint="eastAsia" w:ascii="仿宋_GB2312" w:hAnsi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深圳市南山区沙河西路深圳湾科技生态园一区2栋A座11</w:t>
      </w:r>
    </w:p>
    <w:p>
      <w:pPr>
        <w:adjustRightInd w:val="0"/>
        <w:snapToGrid w:val="0"/>
        <w:ind w:firstLine="960" w:firstLineChars="300"/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层</w:t>
      </w:r>
    </w:p>
    <w:p>
      <w:pPr>
        <w:adjustRightInd w:val="0"/>
        <w:snapToGrid w:val="0"/>
        <w:ind w:firstLine="0" w:firstLineChars="0"/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法定代表</w:t>
      </w:r>
      <w:r>
        <w:rPr>
          <w:rFonts w:hint="eastAsia" w:ascii="仿宋_GB2312" w:hAnsi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人：陈戈</w:t>
      </w:r>
    </w:p>
    <w:p>
      <w:pPr>
        <w:pStyle w:val="10"/>
        <w:shd w:val="clear" w:color="auto" w:fill="FFFFFF"/>
        <w:spacing w:before="0" w:beforeAutospacing="0" w:after="0" w:afterAutospacing="0" w:line="560" w:lineRule="exact"/>
        <w:ind w:firstLine="36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龙岗区位于深圳市东北部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东邻坪山区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南连罗湖区、盐田区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西接龙华区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北靠惠州市、东莞市。辖区总面积388.21平方公里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距香港30公里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距广州150公里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位于深圳都市圈重要节点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是深圳辐射粤东粤北地区的“桥头堡”。作为落实深圳“东进”战略的核心区和主战场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龙岗区委区政府坚持“创新强区、产业立区”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大力实施“一芯两核多支点”发展战略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致力于将龙岗打造成为经济发达、社会和谐、宜居宜业、活力迸发的崭新城区。</w:t>
      </w:r>
    </w:p>
    <w:p>
      <w:pPr>
        <w:pStyle w:val="10"/>
        <w:shd w:val="clear" w:color="auto" w:fill="FFFFFF"/>
        <w:spacing w:before="0" w:beforeAutospacing="0" w:after="0" w:afterAutospacing="0" w:line="560" w:lineRule="exact"/>
        <w:ind w:firstLine="678" w:firstLineChars="212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深圳交易集团有限公司（深圳公共资源交易中心，以下简称“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交易集团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）是深圳市委市政府、市国资委为贯彻落实党中央、国务院关于深化公共资源交易改革精神设立的市属国有全资企业，注册资本25亿元，于2020年11月20日正式揭牌，致力于打造集各类非标资产、资源交易为一体的大型综合性要素交易平台。旗下控股深圳联合产权交易所股份有限公司、深圳市国际招标有限公司和深圳排放权交易所有限公司，发起设立中资阳光采购交易平台有限公司和深圳数据交易有限公司，并在全市设立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家分公司，成为全国首个涵盖市区两级、以市场化方式运作的统一公共资源交易平台。</w:t>
      </w:r>
    </w:p>
    <w:p>
      <w:pPr>
        <w:ind w:firstLine="640"/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区政府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产业发展和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交易集团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发展规划，双方具有良好的合作基础。为加强双方合作关系，充分发挥双方优势，实现优势互补、共同发展，经友好协商，双方达成如下战略合作框架协议。</w:t>
      </w:r>
    </w:p>
    <w:p>
      <w:pPr>
        <w:ind w:firstLine="640"/>
        <w:rPr>
          <w:rFonts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一、合作原则</w:t>
      </w:r>
    </w:p>
    <w:p>
      <w:pPr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双方在遵守国家的法律、法规、规章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政策的前提下，本着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平等自愿、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优势互补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、发展共享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的原则，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聚焦要素市场化配置综合改革、公共资源交易改革、优化营商环境改革、绿色低碳发展等重点领域，精准发力，推动在更深层次、更广范围开展务实高效合作，助推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龙岗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区经济社会持续健康发展，为深圳先行示范区建设做出更大贡献。</w:t>
      </w:r>
    </w:p>
    <w:p>
      <w:pPr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二、</w:t>
      </w:r>
      <w:r>
        <w:rPr>
          <w:rFonts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合作</w:t>
      </w:r>
      <w:r>
        <w:rPr>
          <w:rFonts w:hint="eastAsia"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重点</w:t>
      </w:r>
    </w:p>
    <w:p>
      <w:pPr>
        <w:pStyle w:val="18"/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公共资源交易平台合作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利用交易集团平台优势，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阳光采购、医用耗材交易、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资金融通、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阳光租赁、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物业服务招投标、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建材询价等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平台，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公共资源交易</w:t>
      </w:r>
      <w:r>
        <w:rPr>
          <w:rFonts w:hint="eastAsia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领域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合作，推动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区政府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交易集团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在政府采购、建设工程招投标、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国有企业、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集体企业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要素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交易等领域深入合作，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充分发挥交易集团属地服务的优势，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全面提升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区政府及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职能部门、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所属企业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服务效率和创新能力，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充分挖掘交易服务之外的需求，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为区政府及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职能部门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企业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整合资源提供定制化、个性化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持续降低交易成本、优化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营商环境、增进民生福祉。</w:t>
      </w:r>
    </w:p>
    <w:p>
      <w:pPr>
        <w:pStyle w:val="18"/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）共同推进产权、资产交易及综合金融服务业务</w:t>
      </w:r>
    </w:p>
    <w:p>
      <w:pPr>
        <w:pStyle w:val="19"/>
        <w:snapToGrid w:val="0"/>
        <w:spacing w:after="0" w:line="56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充分发挥交易集团在产权、资产交易及综合金融服务的经验优势，为区政府及职能部门、所属企业提供优质的产权交易、增资挂牌、专业投行、重大资源开发、金融资产交易等服务，通过不断延伸服务内涵，成为区政府境内外产权、资产交易及综合金融优质服务商。建立交易集团与区属国企的金融服务合作机制,充分发挥区属国企在综合金融服务等方面的优势，促进双方资源共享，为交易集团及其子公司的各项交易业务提供深度增值服务。</w:t>
      </w:r>
    </w:p>
    <w:bookmarkEnd w:id="0"/>
    <w:bookmarkEnd w:id="1"/>
    <w:p>
      <w:pPr>
        <w:pStyle w:val="18"/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）加强综合性咨询业务合作</w:t>
      </w:r>
    </w:p>
    <w:p>
      <w:pPr>
        <w:pStyle w:val="19"/>
        <w:snapToGrid w:val="0"/>
        <w:spacing w:after="0" w:line="560" w:lineRule="exact"/>
        <w:ind w:left="0" w:firstLine="640" w:firstLineChars="200"/>
        <w:jc w:val="both"/>
        <w:rPr>
          <w:rFonts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交易集团基于海量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数据资源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扎实的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专业能力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丰富的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业务开展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经验，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既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可协助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区政府及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部门、所属企业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在采购管理、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PPP/特许经营项目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工程技术、造价、管理、法律、经济、财务、金融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投资决策等方面，提供阶段性或一站式全过程综合性咨询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区政府及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部门、所属企业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增值赋能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综合服务</w:t>
      </w:r>
      <w:r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助力促进新经济产业转型升级和企业高质量发展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8"/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）共同开展绿色低碳领域创新发展</w:t>
      </w:r>
    </w:p>
    <w:p>
      <w:pPr>
        <w:adjustRightInd w:val="0"/>
        <w:snapToGrid w:val="0"/>
        <w:ind w:firstLine="640"/>
        <w:rPr>
          <w:rFonts w:hint="default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拓宽绿色低碳领域合作，依托交易集团所属企业深圳排放权交易所在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“应对气候变化、保护生态环境、发展绿色金融、开展国际合作”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方面优势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，充分发挥环境权益交易平台功能，为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区政府及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部门、所属企业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提供一站式一体化解决方案。</w:t>
      </w:r>
    </w:p>
    <w:p>
      <w:pPr>
        <w:adjustRightInd w:val="0"/>
        <w:snapToGrid w:val="0"/>
        <w:ind w:firstLine="643"/>
        <w:rPr>
          <w:rFonts w:hint="eastAsia" w:ascii="楷体_GB2312" w:hAnsi="楷体_GB2312" w:eastAsia="楷体_GB2312" w:cs="楷体_GB2312"/>
          <w:b w:val="0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共同推进数据交易业务合作</w:t>
      </w:r>
    </w:p>
    <w:p>
      <w:pPr>
        <w:adjustRightInd w:val="0"/>
        <w:snapToGrid w:val="0"/>
        <w:ind w:firstLine="640"/>
        <w:rPr>
          <w:rFonts w:hint="eastAsia" w:ascii="仿宋_GB2312" w:hAnsi="仿宋_GB2312" w:eastAsia="仿宋_GB2312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交易集团所属企业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深圳数据交易有限公司在“规范交易市场、促进合规发展、发掘数据价值、推动数据融合”方面优势，与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区政府及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部门、所属企业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开展合作，共同培育数据要素市场，促进数字经济产业发展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8"/>
        <w:spacing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）其他领域合作</w:t>
      </w:r>
    </w:p>
    <w:p>
      <w:pPr>
        <w:autoSpaceDE/>
        <w:autoSpaceDN/>
        <w:ind w:firstLine="64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双方将继续依据各自发展的规划，根据战略合作协议确立的原则，进一步研究和探讨其它合作内容。</w:t>
      </w:r>
    </w:p>
    <w:p>
      <w:pPr>
        <w:ind w:firstLine="640"/>
        <w:rPr>
          <w:rFonts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三、合作机制</w:t>
      </w:r>
    </w:p>
    <w:p>
      <w:pPr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bookmarkStart w:id="2" w:name="(四)在高新特难工程建设方面开展合作"/>
      <w:bookmarkEnd w:id="2"/>
      <w:bookmarkStart w:id="3" w:name="三、合作模式及机制"/>
      <w:bookmarkEnd w:id="3"/>
      <w:r>
        <w:rPr>
          <w:rFonts w:hint="eastAsia" w:ascii="楷体_GB2312" w:hAnsi="楷体_GB2312" w:eastAsia="楷体_GB2312" w:cs="楷体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（一）高层互动机制。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建立双方高层定期会晤交流机制，就合作项目的发展、执行情况进行评估，加强双方的深度合作。</w:t>
      </w:r>
    </w:p>
    <w:p>
      <w:pPr>
        <w:ind w:firstLine="640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（二）协调推进机制。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建立合作事项协调推进工作机制，由双方负责合作的部门牵头组织落实合作事项，定期交流合作情况，协调解决合作中遇到的困难和问题。</w:t>
      </w:r>
    </w:p>
    <w:p>
      <w:pPr>
        <w:ind w:firstLine="640"/>
        <w:rPr>
          <w:rFonts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、其他</w:t>
      </w:r>
      <w:r>
        <w:rPr>
          <w:rFonts w:hint="eastAsia" w:ascii="黑体" w:hAnsi="黑体" w:eastAsia="黑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事项</w:t>
      </w: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（一）双方同意以本协议为基础，对具体项目事宜采用一事一议的方法进行磋商。</w:t>
      </w:r>
    </w:p>
    <w:p>
      <w:pPr>
        <w:adjustRightInd w:val="0"/>
        <w:snapToGrid w:val="0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）本协议自双方法定代表人或授权代表签字并加盖公章（或合同专用章）之日起生效，有效期5年，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文本一式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陆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份，双方各执</w:t>
      </w:r>
      <w:r>
        <w:rPr>
          <w:rFonts w:hint="eastAsia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叁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份。</w:t>
      </w:r>
    </w:p>
    <w:p>
      <w:pPr>
        <w:ind w:firstLine="640"/>
        <w:rPr>
          <w:rFonts w:hAnsi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）未尽事宜或具体合作项目由双方另行协商签订书面协议。</w:t>
      </w:r>
    </w:p>
    <w:p>
      <w:pPr>
        <w:ind w:firstLine="640"/>
        <w:rPr>
          <w:rFonts w:hAnsi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firstLine="0" w:firstLine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（以下无正文，为《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战略合作框架协议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》之签署页）</w:t>
      </w:r>
    </w:p>
    <w:p>
      <w:pPr>
        <w:ind w:firstLine="468"/>
        <w:rPr>
          <w:rFonts w:hAnsi="仿宋" w:cs="仿宋"/>
          <w:color w:val="000000" w:themeColor="text1"/>
          <w:spacing w:val="-3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9" w:type="default"/>
          <w:pgSz w:w="11910" w:h="16840"/>
          <w:pgMar w:top="2098" w:right="1474" w:bottom="1984" w:left="1587" w:header="0" w:footer="775" w:gutter="0"/>
          <w:pgNumType w:start="1"/>
          <w:cols w:space="720" w:num="1"/>
        </w:sectPr>
      </w:pPr>
    </w:p>
    <w:p>
      <w:pPr>
        <w:pStyle w:val="2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（此页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签署页）</w:t>
      </w: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甲方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深圳市龙岗</w:t>
      </w:r>
      <w:r>
        <w:rPr>
          <w:rFonts w:hint="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区人民政府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（盖章）</w:t>
      </w: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授权代表：</w:t>
      </w: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签订日期：</w:t>
      </w:r>
    </w:p>
    <w:p>
      <w:pPr>
        <w:pStyle w:val="2"/>
        <w:ind w:firstLine="56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乙方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深圳交易集团有限公司（盖章）</w:t>
      </w: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授权代表：</w:t>
      </w: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签订日期：</w:t>
      </w: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71"/>
        </w:tabs>
        <w:ind w:firstLine="560"/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</w:p>
  <w:p>
    <w:pPr>
      <w:pStyle w:val="2"/>
      <w:spacing w:line="14" w:lineRule="auto"/>
      <w:ind w:firstLine="40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5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ind w:firstLine="40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40"/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5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ind w:firstLine="40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6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899"/>
    <w:rsid w:val="0001065A"/>
    <w:rsid w:val="00011D58"/>
    <w:rsid w:val="0002492C"/>
    <w:rsid w:val="00057172"/>
    <w:rsid w:val="00071D0B"/>
    <w:rsid w:val="000914D1"/>
    <w:rsid w:val="0009758E"/>
    <w:rsid w:val="000B0AC2"/>
    <w:rsid w:val="000C40D9"/>
    <w:rsid w:val="000D1853"/>
    <w:rsid w:val="000F1484"/>
    <w:rsid w:val="000F7A6D"/>
    <w:rsid w:val="0010703F"/>
    <w:rsid w:val="00127879"/>
    <w:rsid w:val="001352F7"/>
    <w:rsid w:val="00141C43"/>
    <w:rsid w:val="00153E89"/>
    <w:rsid w:val="00172A27"/>
    <w:rsid w:val="001840A1"/>
    <w:rsid w:val="0018680C"/>
    <w:rsid w:val="001870AD"/>
    <w:rsid w:val="00193B98"/>
    <w:rsid w:val="001D54CB"/>
    <w:rsid w:val="001E416B"/>
    <w:rsid w:val="0020459A"/>
    <w:rsid w:val="002148DC"/>
    <w:rsid w:val="00220717"/>
    <w:rsid w:val="0022500C"/>
    <w:rsid w:val="00290727"/>
    <w:rsid w:val="002C3534"/>
    <w:rsid w:val="002E3454"/>
    <w:rsid w:val="00306BA2"/>
    <w:rsid w:val="00311169"/>
    <w:rsid w:val="003265CC"/>
    <w:rsid w:val="003445E4"/>
    <w:rsid w:val="00354851"/>
    <w:rsid w:val="00372A29"/>
    <w:rsid w:val="0037523F"/>
    <w:rsid w:val="003A2BB8"/>
    <w:rsid w:val="003B0A43"/>
    <w:rsid w:val="003B45D6"/>
    <w:rsid w:val="003C3EB8"/>
    <w:rsid w:val="003D1EAE"/>
    <w:rsid w:val="003E3D99"/>
    <w:rsid w:val="003E6FBA"/>
    <w:rsid w:val="00405A08"/>
    <w:rsid w:val="004138C0"/>
    <w:rsid w:val="00466174"/>
    <w:rsid w:val="004705BA"/>
    <w:rsid w:val="00471362"/>
    <w:rsid w:val="00475BDE"/>
    <w:rsid w:val="004A006C"/>
    <w:rsid w:val="004B5D57"/>
    <w:rsid w:val="004B66EC"/>
    <w:rsid w:val="004C2991"/>
    <w:rsid w:val="004D2680"/>
    <w:rsid w:val="00520973"/>
    <w:rsid w:val="00524A95"/>
    <w:rsid w:val="005466AD"/>
    <w:rsid w:val="00581F0C"/>
    <w:rsid w:val="00583824"/>
    <w:rsid w:val="005A051B"/>
    <w:rsid w:val="005A1D2E"/>
    <w:rsid w:val="005A1F7B"/>
    <w:rsid w:val="005C1BEC"/>
    <w:rsid w:val="005C6092"/>
    <w:rsid w:val="005D6428"/>
    <w:rsid w:val="005E2F53"/>
    <w:rsid w:val="005F275A"/>
    <w:rsid w:val="00602EF5"/>
    <w:rsid w:val="00626F06"/>
    <w:rsid w:val="00636219"/>
    <w:rsid w:val="00637613"/>
    <w:rsid w:val="00653B5C"/>
    <w:rsid w:val="00656528"/>
    <w:rsid w:val="0066291F"/>
    <w:rsid w:val="00694320"/>
    <w:rsid w:val="006B1F50"/>
    <w:rsid w:val="006C325A"/>
    <w:rsid w:val="006D11A5"/>
    <w:rsid w:val="006E3426"/>
    <w:rsid w:val="00701D6A"/>
    <w:rsid w:val="00722753"/>
    <w:rsid w:val="0072341F"/>
    <w:rsid w:val="00725371"/>
    <w:rsid w:val="007273E8"/>
    <w:rsid w:val="00730F1D"/>
    <w:rsid w:val="00761BEB"/>
    <w:rsid w:val="007963F9"/>
    <w:rsid w:val="007B7DD1"/>
    <w:rsid w:val="007C1C05"/>
    <w:rsid w:val="007C60EA"/>
    <w:rsid w:val="007D4031"/>
    <w:rsid w:val="007E17E9"/>
    <w:rsid w:val="007F77DD"/>
    <w:rsid w:val="00803809"/>
    <w:rsid w:val="00836D02"/>
    <w:rsid w:val="00860248"/>
    <w:rsid w:val="008726F2"/>
    <w:rsid w:val="00893CE9"/>
    <w:rsid w:val="008952E2"/>
    <w:rsid w:val="008A34F6"/>
    <w:rsid w:val="008A44DE"/>
    <w:rsid w:val="008A65E2"/>
    <w:rsid w:val="008B00D9"/>
    <w:rsid w:val="008B70D5"/>
    <w:rsid w:val="008C6DBF"/>
    <w:rsid w:val="008E77EA"/>
    <w:rsid w:val="008F5426"/>
    <w:rsid w:val="008F6F8B"/>
    <w:rsid w:val="00941F0F"/>
    <w:rsid w:val="0095097B"/>
    <w:rsid w:val="0097279B"/>
    <w:rsid w:val="009971BE"/>
    <w:rsid w:val="009A3B76"/>
    <w:rsid w:val="009A4958"/>
    <w:rsid w:val="009B5FEC"/>
    <w:rsid w:val="009C7C0D"/>
    <w:rsid w:val="009D7A9A"/>
    <w:rsid w:val="009E4ED0"/>
    <w:rsid w:val="00A21EE7"/>
    <w:rsid w:val="00A35218"/>
    <w:rsid w:val="00A42343"/>
    <w:rsid w:val="00A46A3C"/>
    <w:rsid w:val="00A5173D"/>
    <w:rsid w:val="00A66A19"/>
    <w:rsid w:val="00A75087"/>
    <w:rsid w:val="00AB4419"/>
    <w:rsid w:val="00AD54C3"/>
    <w:rsid w:val="00B04685"/>
    <w:rsid w:val="00B0751C"/>
    <w:rsid w:val="00B41E60"/>
    <w:rsid w:val="00B46D11"/>
    <w:rsid w:val="00BA32FF"/>
    <w:rsid w:val="00BC2E18"/>
    <w:rsid w:val="00BC63C4"/>
    <w:rsid w:val="00BD585A"/>
    <w:rsid w:val="00C169AE"/>
    <w:rsid w:val="00C2751B"/>
    <w:rsid w:val="00C37576"/>
    <w:rsid w:val="00C4661D"/>
    <w:rsid w:val="00C51833"/>
    <w:rsid w:val="00C720EF"/>
    <w:rsid w:val="00C76CC1"/>
    <w:rsid w:val="00CB0436"/>
    <w:rsid w:val="00CB1DA7"/>
    <w:rsid w:val="00CC443E"/>
    <w:rsid w:val="00CD381F"/>
    <w:rsid w:val="00D01115"/>
    <w:rsid w:val="00D2295E"/>
    <w:rsid w:val="00D75F6F"/>
    <w:rsid w:val="00D82D5F"/>
    <w:rsid w:val="00D82E1B"/>
    <w:rsid w:val="00DA5797"/>
    <w:rsid w:val="00DC4C0F"/>
    <w:rsid w:val="00DF3FED"/>
    <w:rsid w:val="00E20F09"/>
    <w:rsid w:val="00E411ED"/>
    <w:rsid w:val="00E43A54"/>
    <w:rsid w:val="00E46ED1"/>
    <w:rsid w:val="00E670B7"/>
    <w:rsid w:val="00E74A58"/>
    <w:rsid w:val="00E93099"/>
    <w:rsid w:val="00EA11AB"/>
    <w:rsid w:val="00EA6495"/>
    <w:rsid w:val="00ED6165"/>
    <w:rsid w:val="00EF6370"/>
    <w:rsid w:val="00F03906"/>
    <w:rsid w:val="00F10A6B"/>
    <w:rsid w:val="00F13BF0"/>
    <w:rsid w:val="00F152FA"/>
    <w:rsid w:val="00F45361"/>
    <w:rsid w:val="00FA19A9"/>
    <w:rsid w:val="00FB122B"/>
    <w:rsid w:val="00FB1F18"/>
    <w:rsid w:val="00FC783E"/>
    <w:rsid w:val="00FE7196"/>
    <w:rsid w:val="00FF07D5"/>
    <w:rsid w:val="00FF3141"/>
    <w:rsid w:val="012E68CE"/>
    <w:rsid w:val="01CD4C0C"/>
    <w:rsid w:val="027350A9"/>
    <w:rsid w:val="02880E28"/>
    <w:rsid w:val="02C00A2A"/>
    <w:rsid w:val="02E04F3F"/>
    <w:rsid w:val="04034F3F"/>
    <w:rsid w:val="049C6D3F"/>
    <w:rsid w:val="055D4459"/>
    <w:rsid w:val="0628513A"/>
    <w:rsid w:val="064654D7"/>
    <w:rsid w:val="0680115B"/>
    <w:rsid w:val="0724529D"/>
    <w:rsid w:val="078A1FA9"/>
    <w:rsid w:val="07CD5AC0"/>
    <w:rsid w:val="08A83782"/>
    <w:rsid w:val="08AB24EE"/>
    <w:rsid w:val="0908142F"/>
    <w:rsid w:val="09B05E76"/>
    <w:rsid w:val="0BF33851"/>
    <w:rsid w:val="0C090D35"/>
    <w:rsid w:val="0C9B5C6D"/>
    <w:rsid w:val="0D4C5E1C"/>
    <w:rsid w:val="0DB64903"/>
    <w:rsid w:val="0F0B73C6"/>
    <w:rsid w:val="0F9D6535"/>
    <w:rsid w:val="0FCE08ED"/>
    <w:rsid w:val="0FE17D61"/>
    <w:rsid w:val="102E37E3"/>
    <w:rsid w:val="11360660"/>
    <w:rsid w:val="11392519"/>
    <w:rsid w:val="1159548D"/>
    <w:rsid w:val="11CE2EF7"/>
    <w:rsid w:val="12EB304E"/>
    <w:rsid w:val="13A35ECB"/>
    <w:rsid w:val="13D6555F"/>
    <w:rsid w:val="13EC3F50"/>
    <w:rsid w:val="14725130"/>
    <w:rsid w:val="14F2648D"/>
    <w:rsid w:val="14FF5277"/>
    <w:rsid w:val="15576B68"/>
    <w:rsid w:val="155805B5"/>
    <w:rsid w:val="174F0D01"/>
    <w:rsid w:val="17FB5860"/>
    <w:rsid w:val="1834100A"/>
    <w:rsid w:val="19261A8E"/>
    <w:rsid w:val="197A503A"/>
    <w:rsid w:val="1C1D0C6D"/>
    <w:rsid w:val="1C55282F"/>
    <w:rsid w:val="1C7648A4"/>
    <w:rsid w:val="1D543095"/>
    <w:rsid w:val="1D5535AD"/>
    <w:rsid w:val="1E830C92"/>
    <w:rsid w:val="1ECC424A"/>
    <w:rsid w:val="20091A51"/>
    <w:rsid w:val="2059498F"/>
    <w:rsid w:val="209429C9"/>
    <w:rsid w:val="21A42EC1"/>
    <w:rsid w:val="223B4BD4"/>
    <w:rsid w:val="22A74638"/>
    <w:rsid w:val="24105918"/>
    <w:rsid w:val="247926FC"/>
    <w:rsid w:val="247966F2"/>
    <w:rsid w:val="24A641AC"/>
    <w:rsid w:val="2586092E"/>
    <w:rsid w:val="25D01FFE"/>
    <w:rsid w:val="26D82221"/>
    <w:rsid w:val="26EE25E6"/>
    <w:rsid w:val="26F62153"/>
    <w:rsid w:val="285638B8"/>
    <w:rsid w:val="288D1E63"/>
    <w:rsid w:val="28A54752"/>
    <w:rsid w:val="28DF7B15"/>
    <w:rsid w:val="29A17B5B"/>
    <w:rsid w:val="2A8146B4"/>
    <w:rsid w:val="2A8659CE"/>
    <w:rsid w:val="2B4107DF"/>
    <w:rsid w:val="2B4A2D53"/>
    <w:rsid w:val="2C843F5E"/>
    <w:rsid w:val="2E851E2B"/>
    <w:rsid w:val="2F900C30"/>
    <w:rsid w:val="2F9C075A"/>
    <w:rsid w:val="30F160EA"/>
    <w:rsid w:val="31B36208"/>
    <w:rsid w:val="32CB1D18"/>
    <w:rsid w:val="32D44FBE"/>
    <w:rsid w:val="336553EA"/>
    <w:rsid w:val="33B62642"/>
    <w:rsid w:val="33C63F7F"/>
    <w:rsid w:val="33FC181D"/>
    <w:rsid w:val="34E143DE"/>
    <w:rsid w:val="34EB6144"/>
    <w:rsid w:val="3520377A"/>
    <w:rsid w:val="35356FE5"/>
    <w:rsid w:val="35D60F11"/>
    <w:rsid w:val="35EE4519"/>
    <w:rsid w:val="3733283F"/>
    <w:rsid w:val="3763224E"/>
    <w:rsid w:val="38BB7228"/>
    <w:rsid w:val="38CC7EE0"/>
    <w:rsid w:val="3AB324B7"/>
    <w:rsid w:val="3B4061CA"/>
    <w:rsid w:val="3B7544D6"/>
    <w:rsid w:val="3B7817D7"/>
    <w:rsid w:val="3BFE33F6"/>
    <w:rsid w:val="3D3E31BA"/>
    <w:rsid w:val="3D5B77E1"/>
    <w:rsid w:val="3DD537BB"/>
    <w:rsid w:val="3E6C6D9A"/>
    <w:rsid w:val="3EB363A4"/>
    <w:rsid w:val="3F7D3E62"/>
    <w:rsid w:val="3F8B0964"/>
    <w:rsid w:val="3FE3527D"/>
    <w:rsid w:val="404712A7"/>
    <w:rsid w:val="409259EC"/>
    <w:rsid w:val="42742915"/>
    <w:rsid w:val="430B7A42"/>
    <w:rsid w:val="43B1261B"/>
    <w:rsid w:val="442D4ADA"/>
    <w:rsid w:val="44A93FD2"/>
    <w:rsid w:val="45344232"/>
    <w:rsid w:val="45A229EB"/>
    <w:rsid w:val="463B4A6E"/>
    <w:rsid w:val="463D4DE1"/>
    <w:rsid w:val="46E56ABD"/>
    <w:rsid w:val="46F767BE"/>
    <w:rsid w:val="47385AA6"/>
    <w:rsid w:val="477223BC"/>
    <w:rsid w:val="4A0561D0"/>
    <w:rsid w:val="4A0805EA"/>
    <w:rsid w:val="4AA30D85"/>
    <w:rsid w:val="4ACC7D19"/>
    <w:rsid w:val="4B0B04B0"/>
    <w:rsid w:val="4BF84ADB"/>
    <w:rsid w:val="4C5B0FC3"/>
    <w:rsid w:val="4CAD3BCA"/>
    <w:rsid w:val="4CC74482"/>
    <w:rsid w:val="4D2A2AFE"/>
    <w:rsid w:val="4DA6293F"/>
    <w:rsid w:val="4DCE307C"/>
    <w:rsid w:val="4EE038DB"/>
    <w:rsid w:val="4EF2295D"/>
    <w:rsid w:val="512222A1"/>
    <w:rsid w:val="51822782"/>
    <w:rsid w:val="52657775"/>
    <w:rsid w:val="52B06499"/>
    <w:rsid w:val="52EB4148"/>
    <w:rsid w:val="53DA3FA7"/>
    <w:rsid w:val="54280D3A"/>
    <w:rsid w:val="54673480"/>
    <w:rsid w:val="553D3BA3"/>
    <w:rsid w:val="561818DD"/>
    <w:rsid w:val="569779AB"/>
    <w:rsid w:val="5700557C"/>
    <w:rsid w:val="574B6A07"/>
    <w:rsid w:val="57B36157"/>
    <w:rsid w:val="580E2698"/>
    <w:rsid w:val="584E2256"/>
    <w:rsid w:val="58C66BCA"/>
    <w:rsid w:val="5A2B38CD"/>
    <w:rsid w:val="5ADD6CA2"/>
    <w:rsid w:val="5AF20232"/>
    <w:rsid w:val="5B1B39F0"/>
    <w:rsid w:val="5B1C73BB"/>
    <w:rsid w:val="5C0903C2"/>
    <w:rsid w:val="5C5075EC"/>
    <w:rsid w:val="5D2919BD"/>
    <w:rsid w:val="5DB74225"/>
    <w:rsid w:val="5E543AC4"/>
    <w:rsid w:val="5EF83378"/>
    <w:rsid w:val="5FD16B1D"/>
    <w:rsid w:val="5FED735F"/>
    <w:rsid w:val="614D2356"/>
    <w:rsid w:val="6153691A"/>
    <w:rsid w:val="61EF7F21"/>
    <w:rsid w:val="638D4115"/>
    <w:rsid w:val="640F0868"/>
    <w:rsid w:val="64251B90"/>
    <w:rsid w:val="649D689F"/>
    <w:rsid w:val="65394F59"/>
    <w:rsid w:val="65587BB7"/>
    <w:rsid w:val="65852D87"/>
    <w:rsid w:val="67731885"/>
    <w:rsid w:val="67DC44C0"/>
    <w:rsid w:val="68EF720B"/>
    <w:rsid w:val="69272CA6"/>
    <w:rsid w:val="6933682E"/>
    <w:rsid w:val="69A2602B"/>
    <w:rsid w:val="6A642DC4"/>
    <w:rsid w:val="6A6A72C1"/>
    <w:rsid w:val="6AB413FF"/>
    <w:rsid w:val="6B9C45E3"/>
    <w:rsid w:val="6BA91B1D"/>
    <w:rsid w:val="6C1D2C26"/>
    <w:rsid w:val="6CD85171"/>
    <w:rsid w:val="6D262ADE"/>
    <w:rsid w:val="6D480EFF"/>
    <w:rsid w:val="6E50449B"/>
    <w:rsid w:val="6FBE3F62"/>
    <w:rsid w:val="70C60851"/>
    <w:rsid w:val="70D05C20"/>
    <w:rsid w:val="70D55D50"/>
    <w:rsid w:val="71F76DA7"/>
    <w:rsid w:val="72025E6B"/>
    <w:rsid w:val="7207298B"/>
    <w:rsid w:val="72D6357F"/>
    <w:rsid w:val="72DD6345"/>
    <w:rsid w:val="731F5161"/>
    <w:rsid w:val="736C5F15"/>
    <w:rsid w:val="740D6CA4"/>
    <w:rsid w:val="74D642E6"/>
    <w:rsid w:val="753B7C96"/>
    <w:rsid w:val="76C771BD"/>
    <w:rsid w:val="784637E4"/>
    <w:rsid w:val="797515FD"/>
    <w:rsid w:val="79B557AF"/>
    <w:rsid w:val="79CB5E4B"/>
    <w:rsid w:val="79D750F1"/>
    <w:rsid w:val="7A672250"/>
    <w:rsid w:val="7ABB6F4D"/>
    <w:rsid w:val="7B5C3BE7"/>
    <w:rsid w:val="7C1C579E"/>
    <w:rsid w:val="7C4161ED"/>
    <w:rsid w:val="7D240D05"/>
    <w:rsid w:val="7D50698C"/>
    <w:rsid w:val="7D7F52FA"/>
    <w:rsid w:val="7F6FB0A7"/>
    <w:rsid w:val="7F90661D"/>
    <w:rsid w:val="7FBBE4EC"/>
    <w:rsid w:val="7FFD93FC"/>
    <w:rsid w:val="97FE43A1"/>
    <w:rsid w:val="A72E4342"/>
    <w:rsid w:val="AFDF731C"/>
    <w:rsid w:val="BE759DC7"/>
    <w:rsid w:val="BFD75504"/>
    <w:rsid w:val="ED1FA5A8"/>
    <w:rsid w:val="FFB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560" w:lineRule="exact"/>
      <w:ind w:firstLine="522" w:firstLineChars="200"/>
      <w:jc w:val="both"/>
    </w:pPr>
    <w:rPr>
      <w:rFonts w:ascii="仿宋_GB2312" w:hAnsi="仿宋_GB2312" w:eastAsia="仿宋_GB2312" w:cs="Times New Roman"/>
      <w:sz w:val="32"/>
      <w:szCs w:val="32"/>
      <w:lang w:val="zh-CN" w:eastAsia="zh-CN" w:bidi="zh-CN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ind w:firstLine="880"/>
      <w:outlineLvl w:val="2"/>
    </w:pPr>
    <w:rPr>
      <w:rFonts w:eastAsia="楷体_GB2312"/>
      <w:b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7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13">
    <w:name w:val="页眉 字符"/>
    <w:basedOn w:val="12"/>
    <w:link w:val="9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12"/>
    <w:link w:val="8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5">
    <w:name w:val="List Paragraph"/>
    <w:basedOn w:val="1"/>
    <w:unhideWhenUsed/>
    <w:qFormat/>
    <w:uiPriority w:val="99"/>
    <w:pPr>
      <w:ind w:firstLine="420"/>
    </w:pPr>
  </w:style>
  <w:style w:type="paragraph" w:customStyle="1" w:styleId="16">
    <w:name w:val="正文 A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17">
    <w:name w:val="批注框文本 字符"/>
    <w:basedOn w:val="12"/>
    <w:link w:val="7"/>
    <w:qFormat/>
    <w:uiPriority w:val="0"/>
    <w:rPr>
      <w:rFonts w:ascii="仿宋_GB2312" w:hAnsi="仿宋_GB2312" w:eastAsia="仿宋_GB2312"/>
      <w:sz w:val="18"/>
      <w:szCs w:val="18"/>
      <w:lang w:val="zh-CN" w:bidi="zh-CN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彩色列表 - 强调文字颜色 11"/>
    <w:basedOn w:val="1"/>
    <w:qFormat/>
    <w:uiPriority w:val="34"/>
    <w:pPr>
      <w:widowControl/>
      <w:adjustRightInd w:val="0"/>
      <w:spacing w:after="240" w:line="240" w:lineRule="auto"/>
      <w:ind w:left="840" w:firstLine="11" w:firstLineChars="0"/>
      <w:jc w:val="left"/>
    </w:pPr>
    <w:rPr>
      <w:rFonts w:ascii="宋体" w:hAnsi="宋体" w:eastAsia="宋体" w:cs="Times"/>
      <w:sz w:val="28"/>
      <w:szCs w:val="28"/>
      <w:lang w:val="en-US" w:bidi="ar-SA"/>
    </w:rPr>
  </w:style>
  <w:style w:type="paragraph" w:customStyle="1" w:styleId="20">
    <w:name w:val="表格文字"/>
    <w:basedOn w:val="1"/>
    <w:qFormat/>
    <w:uiPriority w:val="99"/>
    <w:pPr>
      <w:spacing w:before="25" w:after="25"/>
    </w:pPr>
    <w:rPr>
      <w:spacing w:val="10"/>
      <w:sz w:val="24"/>
    </w:rPr>
  </w:style>
  <w:style w:type="character" w:customStyle="1" w:styleId="21">
    <w:name w:val="标题 1 字符"/>
    <w:link w:val="3"/>
    <w:qFormat/>
    <w:uiPriority w:val="0"/>
    <w:rPr>
      <w:rFonts w:eastAsia="黑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1844</Words>
  <Characters>1858</Characters>
  <Lines>39</Lines>
  <Paragraphs>11</Paragraphs>
  <TotalTime>0</TotalTime>
  <ScaleCrop>false</ScaleCrop>
  <LinksUpToDate>false</LinksUpToDate>
  <CharactersWithSpaces>1859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2022-03-19T14:33:00Z</dcterms:created>
  <dc:creator>孙美茹</dc:creator>
  <cp:lastModifiedBy>萧小玉</cp:lastModifiedBy>
  <cp:lastPrinted>2022-01-06T18:32:00Z</cp:lastPrinted>
  <dcterms:modified xsi:type="dcterms:W3CDTF">2022-04-24T01:35:19Z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DBB2DE010E74422B8EDEEA32396B97A6</vt:lpwstr>
  </property>
</Properties>
</file>