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adjustRightInd w:val="0"/>
        <w:snapToGrid w:val="0"/>
        <w:spacing w:line="560" w:lineRule="exact"/>
        <w:jc w:val="center"/>
        <w:rPr>
          <w:rFonts w:ascii="宋体" w:hAnsi="宋体" w:cs="宋体"/>
          <w:b/>
          <w:bCs/>
          <w:sz w:val="44"/>
          <w:szCs w:val="44"/>
        </w:rPr>
      </w:pPr>
    </w:p>
    <w:p>
      <w:pPr>
        <w:adjustRightInd w:val="0"/>
        <w:snapToGrid w:val="0"/>
        <w:spacing w:line="560" w:lineRule="exact"/>
        <w:jc w:val="center"/>
        <w:rPr>
          <w:rFonts w:ascii="宋体" w:hAnsi="宋体" w:cs="宋体"/>
          <w:b/>
          <w:bCs/>
          <w:sz w:val="44"/>
          <w:szCs w:val="44"/>
        </w:rPr>
      </w:pPr>
      <w:r>
        <w:rPr>
          <w:rFonts w:hint="eastAsia" w:ascii="宋体" w:hAnsi="宋体" w:cs="宋体"/>
          <w:b/>
          <w:bCs/>
          <w:sz w:val="44"/>
          <w:szCs w:val="44"/>
        </w:rPr>
        <w:t>深圳市龙岗区工业和信息化产业发展专项资金关于支持</w:t>
      </w:r>
      <w:r>
        <w:rPr>
          <w:rFonts w:ascii="宋体" w:hAnsi="宋体" w:cs="宋体"/>
          <w:b/>
          <w:bCs/>
          <w:sz w:val="44"/>
          <w:szCs w:val="44"/>
        </w:rPr>
        <w:t>商贸和服务业</w:t>
      </w:r>
      <w:r>
        <w:rPr>
          <w:rFonts w:hint="eastAsia" w:ascii="宋体" w:hAnsi="宋体" w:cs="宋体"/>
          <w:b/>
          <w:bCs/>
          <w:sz w:val="44"/>
          <w:szCs w:val="44"/>
        </w:rPr>
        <w:t>发展实施细则</w:t>
      </w:r>
    </w:p>
    <w:p>
      <w:pPr>
        <w:pStyle w:val="2"/>
        <w:adjustRightInd w:val="0"/>
        <w:snapToGrid w:val="0"/>
        <w:spacing w:line="560" w:lineRule="exact"/>
        <w:jc w:val="center"/>
        <w:rPr>
          <w:rFonts w:ascii="Arial" w:hAnsi="Arial" w:eastAsia="仿宋" w:cs="Arial"/>
          <w:sz w:val="32"/>
          <w:szCs w:val="32"/>
        </w:rPr>
      </w:pPr>
      <w:bookmarkStart w:id="0" w:name="_GoBack"/>
      <w:bookmarkEnd w:id="0"/>
    </w:p>
    <w:p>
      <w:pPr>
        <w:pStyle w:val="2"/>
        <w:adjustRightInd w:val="0"/>
        <w:snapToGrid w:val="0"/>
        <w:spacing w:line="560" w:lineRule="exact"/>
        <w:jc w:val="center"/>
        <w:rPr>
          <w:rFonts w:ascii="Arial" w:hAnsi="Arial" w:eastAsia="仿宋" w:cs="Arial"/>
          <w:sz w:val="32"/>
          <w:szCs w:val="32"/>
        </w:rPr>
      </w:pPr>
    </w:p>
    <w:p>
      <w:pPr>
        <w:numPr>
          <w:ilvl w:val="0"/>
          <w:numId w:val="1"/>
        </w:numPr>
        <w:adjustRightInd w:val="0"/>
        <w:snapToGrid w:val="0"/>
        <w:spacing w:line="560" w:lineRule="exact"/>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2"/>
        </w:numPr>
        <w:adjustRightInd w:val="0"/>
        <w:snapToGrid w:val="0"/>
        <w:spacing w:line="560" w:lineRule="exact"/>
        <w:ind w:firstLine="640"/>
        <w:rPr>
          <w:rFonts w:ascii="仿宋_GB2312" w:hAnsi="Arial" w:eastAsia="仿宋_GB2312" w:cs="Arial"/>
          <w:sz w:val="32"/>
          <w:szCs w:val="32"/>
        </w:rPr>
      </w:pPr>
      <w:r>
        <w:rPr>
          <w:rFonts w:hint="eastAsia" w:ascii="仿宋_GB2312" w:hAnsi="Arial" w:eastAsia="仿宋_GB2312" w:cs="Arial"/>
          <w:sz w:val="32"/>
          <w:szCs w:val="32"/>
        </w:rPr>
        <w:t xml:space="preserve"> 根据《深圳市龙岗区区级财政专项资金管理办法》（深龙府规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Arial" w:eastAsia="仿宋_GB2312" w:cs="Arial"/>
          <w:sz w:val="32"/>
          <w:szCs w:val="32"/>
        </w:rPr>
        <w:t>〕1号）及《深圳市龙岗区产业发展专项资金管理办法》，结合工作实际，制定本实施细则。</w:t>
      </w:r>
    </w:p>
    <w:p>
      <w:pPr>
        <w:numPr>
          <w:ilvl w:val="0"/>
          <w:numId w:val="2"/>
        </w:numPr>
        <w:adjustRightInd w:val="0"/>
        <w:snapToGrid w:val="0"/>
        <w:spacing w:line="560" w:lineRule="exact"/>
        <w:ind w:firstLine="640"/>
        <w:rPr>
          <w:rFonts w:ascii="仿宋_GB2312" w:hAnsi="Arial" w:eastAsia="仿宋_GB2312" w:cs="Arial"/>
          <w:sz w:val="32"/>
          <w:szCs w:val="32"/>
        </w:rPr>
      </w:pPr>
      <w:r>
        <w:rPr>
          <w:rFonts w:hint="eastAsia" w:ascii="仿宋_GB2312" w:hAnsi="Arial" w:eastAsia="仿宋_GB2312" w:cs="Arial"/>
          <w:sz w:val="32"/>
          <w:szCs w:val="32"/>
        </w:rPr>
        <w:t xml:space="preserve"> 本实施细则所需资金从深圳市龙岗区工业和信息化产业发展专项资金中列支，实行总额控制，如果年度资助规模超出财政预算，则对扶持项目应获资助金额按比例核减。</w:t>
      </w:r>
    </w:p>
    <w:p>
      <w:pPr>
        <w:numPr>
          <w:ilvl w:val="0"/>
          <w:numId w:val="2"/>
        </w:numPr>
        <w:adjustRightInd w:val="0"/>
        <w:snapToGrid w:val="0"/>
        <w:spacing w:line="560" w:lineRule="exact"/>
        <w:ind w:firstLine="640"/>
        <w:rPr>
          <w:rFonts w:ascii="仿宋_GB2312" w:hAnsi="Arial" w:eastAsia="仿宋_GB2312" w:cs="Arial"/>
          <w:sz w:val="32"/>
          <w:szCs w:val="32"/>
        </w:rPr>
      </w:pPr>
      <w:r>
        <w:rPr>
          <w:rFonts w:hint="eastAsia" w:ascii="仿宋_GB2312" w:hAnsi="Arial" w:eastAsia="仿宋_GB2312" w:cs="Arial"/>
          <w:sz w:val="32"/>
          <w:szCs w:val="32"/>
        </w:rPr>
        <w:t xml:space="preserve"> 区工业和信息化局是本细则的实施部门。</w:t>
      </w:r>
    </w:p>
    <w:p>
      <w:pPr>
        <w:numPr>
          <w:ilvl w:val="255"/>
          <w:numId w:val="0"/>
        </w:numPr>
        <w:adjustRightInd w:val="0"/>
        <w:snapToGrid w:val="0"/>
        <w:spacing w:line="560" w:lineRule="exact"/>
        <w:ind w:left="630"/>
        <w:rPr>
          <w:rFonts w:ascii="仿宋_GB2312" w:hAnsi="Arial" w:eastAsia="仿宋_GB2312" w:cs="Arial"/>
          <w:sz w:val="32"/>
          <w:szCs w:val="32"/>
        </w:rPr>
      </w:pPr>
    </w:p>
    <w:p>
      <w:pPr>
        <w:pStyle w:val="9"/>
        <w:numPr>
          <w:ilvl w:val="0"/>
          <w:numId w:val="1"/>
        </w:numPr>
        <w:shd w:val="clear" w:color="auto" w:fill="FFFFFF"/>
        <w:adjustRightInd w:val="0"/>
        <w:snapToGrid w:val="0"/>
        <w:spacing w:before="0" w:beforeAutospacing="0" w:after="0" w:afterAutospacing="0" w:line="560" w:lineRule="exact"/>
        <w:jc w:val="center"/>
        <w:rPr>
          <w:rFonts w:ascii="黑体" w:hAnsi="黑体" w:eastAsia="黑体" w:cs="黑体"/>
          <w:color w:val="auto"/>
          <w:sz w:val="32"/>
          <w:szCs w:val="32"/>
        </w:rPr>
      </w:pPr>
      <w:r>
        <w:rPr>
          <w:rFonts w:hint="eastAsia" w:ascii="黑体" w:hAnsi="黑体" w:eastAsia="黑体" w:cs="黑体"/>
          <w:color w:val="auto"/>
          <w:sz w:val="32"/>
          <w:szCs w:val="32"/>
        </w:rPr>
        <w:t>扶持范围、标准和审核方式</w:t>
      </w:r>
    </w:p>
    <w:p>
      <w:pPr>
        <w:pStyle w:val="9"/>
        <w:numPr>
          <w:ilvl w:val="255"/>
          <w:numId w:val="0"/>
        </w:numPr>
        <w:shd w:val="clear" w:color="auto" w:fill="FFFFFF"/>
        <w:adjustRightInd w:val="0"/>
        <w:snapToGrid w:val="0"/>
        <w:spacing w:before="0" w:beforeAutospacing="0" w:after="0" w:afterAutospacing="0" w:line="560" w:lineRule="exact"/>
        <w:jc w:val="both"/>
        <w:rPr>
          <w:rFonts w:ascii="黑体" w:hAnsi="黑体" w:eastAsia="黑体" w:cs="黑体"/>
          <w:color w:val="auto"/>
          <w:sz w:val="32"/>
          <w:szCs w:val="32"/>
        </w:rPr>
      </w:pPr>
    </w:p>
    <w:p>
      <w:pPr>
        <w:pStyle w:val="9"/>
        <w:shd w:val="clear" w:color="auto" w:fill="FFFFFF"/>
        <w:spacing w:before="0" w:beforeAutospacing="0" w:after="0" w:afterAutospacing="0" w:line="560" w:lineRule="exact"/>
        <w:ind w:firstLine="643"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b/>
          <w:bCs/>
          <w:color w:val="auto"/>
          <w:kern w:val="2"/>
          <w:sz w:val="32"/>
          <w:szCs w:val="32"/>
        </w:rPr>
        <w:t>第</w:t>
      </w:r>
      <w:r>
        <w:rPr>
          <w:rFonts w:ascii="仿宋_GB2312" w:hAnsi="仿宋_GB2312" w:eastAsia="仿宋_GB2312" w:cs="仿宋_GB2312"/>
          <w:b/>
          <w:bCs/>
          <w:color w:val="auto"/>
          <w:kern w:val="2"/>
          <w:sz w:val="32"/>
          <w:szCs w:val="32"/>
        </w:rPr>
        <w:t>四</w:t>
      </w:r>
      <w:r>
        <w:rPr>
          <w:rFonts w:hint="eastAsia" w:ascii="仿宋_GB2312" w:hAnsi="仿宋_GB2312" w:eastAsia="仿宋_GB2312" w:cs="仿宋_GB2312"/>
          <w:b/>
          <w:bCs/>
          <w:color w:val="auto"/>
          <w:kern w:val="2"/>
          <w:sz w:val="32"/>
          <w:szCs w:val="32"/>
        </w:rPr>
        <w:t>条</w:t>
      </w:r>
      <w:r>
        <w:rPr>
          <w:rFonts w:ascii="仿宋_GB2312" w:hAnsi="仿宋_GB2312" w:eastAsia="仿宋_GB2312" w:cs="仿宋_GB2312"/>
          <w:b/>
          <w:bCs/>
          <w:color w:val="auto"/>
          <w:kern w:val="2"/>
          <w:sz w:val="32"/>
          <w:szCs w:val="32"/>
        </w:rPr>
        <w:t xml:space="preserve"> </w:t>
      </w:r>
      <w:r>
        <w:rPr>
          <w:rFonts w:hint="eastAsia" w:ascii="仿宋_GB2312" w:hAnsi="仿宋_GB2312" w:eastAsia="仿宋_GB2312" w:cs="仿宋_GB2312"/>
          <w:b/>
          <w:bCs/>
          <w:color w:val="auto"/>
          <w:kern w:val="2"/>
          <w:sz w:val="32"/>
          <w:szCs w:val="32"/>
        </w:rPr>
        <w:t>推动企业上规模</w:t>
      </w:r>
    </w:p>
    <w:p>
      <w:pPr>
        <w:pStyle w:val="9"/>
        <w:shd w:val="clear" w:color="auto" w:fill="FFFFFF"/>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（一）扶持范围：龙岗区新纳入限额以上商业（不含住宿业）和规模以上服务业企业统计数据库的企业，且企业之前未享受过龙岗区规模以上工业、限额以上商业或者规模以上服务业</w:t>
      </w:r>
      <w:r>
        <w:rPr>
          <w:rFonts w:ascii="仿宋_GB2312" w:hAnsi="仿宋_GB2312" w:eastAsia="仿宋_GB2312" w:cs="仿宋_GB2312"/>
          <w:color w:val="auto"/>
          <w:sz w:val="32"/>
          <w:szCs w:val="32"/>
        </w:rPr>
        <w:t>“新纳统”</w:t>
      </w:r>
      <w:r>
        <w:rPr>
          <w:rFonts w:hint="eastAsia" w:ascii="仿宋_GB2312" w:hAnsi="仿宋_GB2312" w:eastAsia="仿宋_GB2312" w:cs="仿宋_GB2312"/>
          <w:color w:val="auto"/>
          <w:sz w:val="32"/>
          <w:szCs w:val="32"/>
        </w:rPr>
        <w:t>扶持奖励。</w:t>
      </w:r>
    </w:p>
    <w:p>
      <w:pPr>
        <w:pStyle w:val="9"/>
        <w:shd w:val="clear" w:color="auto" w:fill="FFFFFF"/>
        <w:spacing w:before="0" w:beforeAutospacing="0" w:after="0" w:afterAutospacing="0" w:line="560" w:lineRule="exact"/>
        <w:ind w:firstLine="643"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（二）扶持方式和标准</w:t>
      </w:r>
      <w:r>
        <w:rPr>
          <w:rFonts w:hint="eastAsia" w:ascii="仿宋_GB2312" w:hAnsi="仿宋_GB2312" w:eastAsia="仿宋_GB2312" w:cs="仿宋_GB2312"/>
          <w:color w:val="auto"/>
          <w:sz w:val="32"/>
          <w:szCs w:val="32"/>
        </w:rPr>
        <w:t>：给予</w:t>
      </w:r>
      <w:r>
        <w:rPr>
          <w:rFonts w:ascii="仿宋_GB2312" w:hAnsi="仿宋_GB2312" w:eastAsia="仿宋_GB2312" w:cs="仿宋_GB2312"/>
          <w:color w:val="auto"/>
          <w:sz w:val="32"/>
          <w:szCs w:val="32"/>
        </w:rPr>
        <w:t>10万元的一次性奖励。</w:t>
      </w:r>
    </w:p>
    <w:p>
      <w:pPr>
        <w:pStyle w:val="9"/>
        <w:shd w:val="clear" w:color="auto" w:fill="FFFFFF"/>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（三）审核方式：核准制，以区统计部门数据为准。</w:t>
      </w:r>
    </w:p>
    <w:p>
      <w:pPr>
        <w:pStyle w:val="9"/>
        <w:shd w:val="clear" w:color="auto" w:fill="FFFFFF"/>
        <w:spacing w:before="0" w:beforeAutospacing="0" w:after="0" w:afterAutospacing="0" w:line="560" w:lineRule="exact"/>
        <w:ind w:firstLine="643" w:firstLineChars="200"/>
        <w:jc w:val="both"/>
        <w:textAlignment w:val="baseline"/>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第</w:t>
      </w:r>
      <w:r>
        <w:rPr>
          <w:rFonts w:ascii="仿宋_GB2312" w:hAnsi="仿宋_GB2312" w:eastAsia="仿宋_GB2312" w:cs="仿宋_GB2312"/>
          <w:b/>
          <w:bCs/>
          <w:color w:val="auto"/>
          <w:kern w:val="2"/>
          <w:sz w:val="32"/>
          <w:szCs w:val="32"/>
        </w:rPr>
        <w:t>五</w:t>
      </w:r>
      <w:r>
        <w:rPr>
          <w:rFonts w:hint="eastAsia" w:ascii="仿宋_GB2312" w:hAnsi="仿宋_GB2312" w:eastAsia="仿宋_GB2312" w:cs="仿宋_GB2312"/>
          <w:b/>
          <w:bCs/>
          <w:color w:val="auto"/>
          <w:kern w:val="2"/>
          <w:sz w:val="32"/>
          <w:szCs w:val="32"/>
        </w:rPr>
        <w:t>条</w:t>
      </w:r>
      <w:r>
        <w:rPr>
          <w:rFonts w:ascii="仿宋_GB2312" w:hAnsi="仿宋_GB2312" w:eastAsia="仿宋_GB2312" w:cs="仿宋_GB2312"/>
          <w:b/>
          <w:bCs/>
          <w:color w:val="auto"/>
          <w:kern w:val="2"/>
          <w:sz w:val="32"/>
          <w:szCs w:val="32"/>
        </w:rPr>
        <w:t xml:space="preserve"> </w:t>
      </w:r>
      <w:r>
        <w:rPr>
          <w:rFonts w:hint="eastAsia" w:ascii="仿宋_GB2312" w:hAnsi="仿宋_GB2312" w:eastAsia="仿宋_GB2312" w:cs="仿宋_GB2312"/>
          <w:b/>
          <w:bCs/>
          <w:color w:val="auto"/>
          <w:kern w:val="2"/>
          <w:sz w:val="32"/>
          <w:szCs w:val="32"/>
        </w:rPr>
        <w:t>大力引进“</w:t>
      </w:r>
      <w:r>
        <w:rPr>
          <w:rFonts w:ascii="仿宋_GB2312" w:hAnsi="仿宋_GB2312" w:eastAsia="仿宋_GB2312" w:cs="仿宋_GB2312"/>
          <w:b/>
          <w:bCs/>
          <w:color w:val="auto"/>
          <w:kern w:val="2"/>
          <w:sz w:val="32"/>
          <w:szCs w:val="32"/>
        </w:rPr>
        <w:t>零售</w:t>
      </w:r>
      <w:r>
        <w:rPr>
          <w:rFonts w:hint="eastAsia" w:ascii="仿宋_GB2312" w:hAnsi="仿宋_GB2312" w:eastAsia="仿宋_GB2312" w:cs="仿宋_GB2312"/>
          <w:b/>
          <w:bCs/>
          <w:color w:val="auto"/>
          <w:kern w:val="2"/>
          <w:sz w:val="32"/>
          <w:szCs w:val="32"/>
        </w:rPr>
        <w:t>龙头企业”</w:t>
      </w:r>
    </w:p>
    <w:p>
      <w:pPr>
        <w:numPr>
          <w:ilvl w:val="0"/>
          <w:numId w:val="3"/>
        </w:numPr>
        <w:snapToGrid w:val="0"/>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扶持范围：</w:t>
      </w:r>
      <w:r>
        <w:rPr>
          <w:rFonts w:ascii="仿宋_GB2312" w:hAnsi="仿宋_GB2312" w:eastAsia="仿宋_GB2312" w:cs="仿宋_GB2312"/>
          <w:sz w:val="32"/>
          <w:szCs w:val="32"/>
        </w:rPr>
        <w:t>2021年1月1日以后在龙岗区设立独立法人的批发零售企业。</w:t>
      </w:r>
    </w:p>
    <w:p>
      <w:pPr>
        <w:pStyle w:val="9"/>
        <w:numPr>
          <w:ilvl w:val="0"/>
          <w:numId w:val="3"/>
        </w:numPr>
        <w:shd w:val="clear" w:color="auto" w:fill="FFFFFF"/>
        <w:spacing w:before="0" w:beforeAutospacing="0" w:after="0" w:afterAutospacing="0" w:line="56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资助方式和标准：自迁入龙岗区三年内任一年度纳统商品零售额首次超过</w:t>
      </w:r>
      <w:r>
        <w:rPr>
          <w:rFonts w:ascii="仿宋_GB2312" w:hAnsi="仿宋_GB2312" w:eastAsia="仿宋_GB2312" w:cs="仿宋_GB2312"/>
          <w:color w:val="auto"/>
          <w:sz w:val="32"/>
          <w:szCs w:val="32"/>
        </w:rPr>
        <w:t>5亿元的企业</w:t>
      </w:r>
      <w:r>
        <w:rPr>
          <w:rFonts w:hint="eastAsia" w:ascii="仿宋_GB2312" w:hAnsi="仿宋_GB2312" w:eastAsia="仿宋_GB2312" w:cs="仿宋_GB2312"/>
          <w:color w:val="auto"/>
          <w:sz w:val="32"/>
          <w:szCs w:val="32"/>
        </w:rPr>
        <w:t>，按照</w:t>
      </w:r>
      <w:r>
        <w:rPr>
          <w:rFonts w:ascii="仿宋_GB2312" w:hAnsi="仿宋_GB2312" w:eastAsia="仿宋_GB2312" w:cs="仿宋_GB2312"/>
          <w:color w:val="auto"/>
          <w:sz w:val="32"/>
          <w:szCs w:val="32"/>
        </w:rPr>
        <w:t>超过部分的0.5%给予该企业</w:t>
      </w:r>
      <w:r>
        <w:rPr>
          <w:rFonts w:hint="eastAsia" w:ascii="仿宋_GB2312" w:hAnsi="仿宋_GB2312" w:eastAsia="仿宋_GB2312" w:cs="仿宋_GB2312"/>
          <w:color w:val="auto"/>
          <w:sz w:val="32"/>
          <w:szCs w:val="32"/>
        </w:rPr>
        <w:t>一次性奖励，最高不超过</w:t>
      </w:r>
      <w:r>
        <w:rPr>
          <w:rFonts w:ascii="仿宋_GB2312" w:hAnsi="仿宋_GB2312" w:eastAsia="仿宋_GB2312" w:cs="仿宋_GB2312"/>
          <w:color w:val="auto"/>
          <w:sz w:val="32"/>
          <w:szCs w:val="32"/>
        </w:rPr>
        <w:t>1亿元。</w:t>
      </w:r>
    </w:p>
    <w:p>
      <w:pPr>
        <w:pStyle w:val="9"/>
        <w:numPr>
          <w:ilvl w:val="0"/>
          <w:numId w:val="3"/>
        </w:numPr>
        <w:shd w:val="clear" w:color="auto" w:fill="FFFFFF"/>
        <w:spacing w:before="0" w:beforeAutospacing="0" w:after="0" w:afterAutospacing="0" w:line="56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审核方式：核准制，以区统计部门数据为准。</w:t>
      </w:r>
    </w:p>
    <w:p>
      <w:pPr>
        <w:pStyle w:val="9"/>
        <w:shd w:val="clear" w:color="auto" w:fill="FFFFFF"/>
        <w:spacing w:before="0" w:beforeAutospacing="0" w:after="0" w:afterAutospacing="0" w:line="560" w:lineRule="exact"/>
        <w:ind w:firstLine="643" w:firstLineChars="200"/>
        <w:jc w:val="both"/>
        <w:textAlignment w:val="baseline"/>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第</w:t>
      </w:r>
      <w:r>
        <w:rPr>
          <w:rFonts w:ascii="仿宋_GB2312" w:hAnsi="仿宋_GB2312" w:eastAsia="仿宋_GB2312" w:cs="仿宋_GB2312"/>
          <w:b/>
          <w:bCs/>
          <w:color w:val="auto"/>
          <w:kern w:val="2"/>
          <w:sz w:val="32"/>
          <w:szCs w:val="32"/>
        </w:rPr>
        <w:t>六</w:t>
      </w:r>
      <w:r>
        <w:rPr>
          <w:rFonts w:hint="eastAsia" w:ascii="仿宋_GB2312" w:hAnsi="仿宋_GB2312" w:eastAsia="仿宋_GB2312" w:cs="仿宋_GB2312"/>
          <w:b/>
          <w:bCs/>
          <w:color w:val="auto"/>
          <w:kern w:val="2"/>
          <w:sz w:val="32"/>
          <w:szCs w:val="32"/>
        </w:rPr>
        <w:t>条</w:t>
      </w:r>
      <w:r>
        <w:rPr>
          <w:rFonts w:ascii="仿宋_GB2312" w:hAnsi="仿宋_GB2312" w:eastAsia="仿宋_GB2312" w:cs="仿宋_GB2312"/>
          <w:b/>
          <w:bCs/>
          <w:color w:val="auto"/>
          <w:kern w:val="2"/>
          <w:sz w:val="32"/>
          <w:szCs w:val="32"/>
        </w:rPr>
        <w:t xml:space="preserve"> </w:t>
      </w:r>
      <w:r>
        <w:rPr>
          <w:rFonts w:hint="eastAsia" w:ascii="仿宋_GB2312" w:hAnsi="仿宋_GB2312" w:eastAsia="仿宋_GB2312" w:cs="仿宋_GB2312"/>
          <w:b/>
          <w:bCs/>
          <w:color w:val="auto"/>
          <w:kern w:val="2"/>
          <w:sz w:val="32"/>
          <w:szCs w:val="32"/>
        </w:rPr>
        <w:t>鼓励企业做大做强</w:t>
      </w:r>
    </w:p>
    <w:p>
      <w:pPr>
        <w:pStyle w:val="9"/>
        <w:shd w:val="clear" w:color="auto" w:fill="FFFFFF"/>
        <w:snapToGrid w:val="0"/>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（一）扶持范围：纳入龙岗区限额以上商业企业统计数据库且上一年度销售额（营业额）规模、增速达到一定标准的企业。</w:t>
      </w:r>
    </w:p>
    <w:p>
      <w:pPr>
        <w:pStyle w:val="9"/>
        <w:shd w:val="clear" w:color="auto" w:fill="FFFFFF"/>
        <w:snapToGrid w:val="0"/>
        <w:spacing w:before="0" w:beforeAutospacing="0" w:after="0" w:afterAutospacing="0" w:line="560" w:lineRule="exact"/>
        <w:ind w:firstLine="640" w:firstLineChars="200"/>
        <w:jc w:val="both"/>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（二）扶持方式和标准：</w:t>
      </w:r>
      <w:r>
        <w:rPr>
          <w:rFonts w:ascii="仿宋_GB2312" w:hAnsi="仿宋_GB2312" w:eastAsia="仿宋_GB2312" w:cs="仿宋_GB2312"/>
          <w:color w:val="auto"/>
          <w:sz w:val="32"/>
          <w:szCs w:val="32"/>
        </w:rPr>
        <w:t>1、上年度销售额达到10（含）-30亿元且同比增长15%及以上，或上年度销售额达到30亿元以上且同比正增长的批发企业，按照销售增长额的0.3‰的比例给予资金支持，最高不超过100</w:t>
      </w:r>
      <w:r>
        <w:rPr>
          <w:rFonts w:hint="eastAsia" w:ascii="仿宋_GB2312" w:hAnsi="仿宋_GB2312" w:eastAsia="仿宋_GB2312" w:cs="仿宋_GB2312"/>
          <w:color w:val="auto"/>
          <w:sz w:val="32"/>
          <w:szCs w:val="32"/>
        </w:rPr>
        <w:t>万元；</w:t>
      </w:r>
      <w:r>
        <w:rPr>
          <w:rFonts w:ascii="仿宋_GB2312" w:hAnsi="仿宋_GB2312" w:eastAsia="仿宋_GB2312" w:cs="仿宋_GB2312"/>
          <w:color w:val="auto"/>
          <w:sz w:val="32"/>
          <w:szCs w:val="32"/>
        </w:rPr>
        <w:t>2、上年度销售额达到1（含）-10亿元且同比增长10%及以上，或上年度销售额达到10亿元以上且同比正增长的零售企业，按照销售增长额的1‰的比例给</w:t>
      </w:r>
      <w:r>
        <w:rPr>
          <w:rFonts w:hint="eastAsia" w:ascii="仿宋_GB2312" w:hAnsi="仿宋_GB2312" w:eastAsia="仿宋_GB2312" w:cs="仿宋_GB2312"/>
          <w:color w:val="auto"/>
          <w:sz w:val="32"/>
          <w:szCs w:val="32"/>
        </w:rPr>
        <w:t>予资金支持，最高不超过</w:t>
      </w:r>
      <w:r>
        <w:rPr>
          <w:rFonts w:ascii="仿宋_GB2312" w:hAnsi="仿宋_GB2312" w:eastAsia="仿宋_GB2312" w:cs="仿宋_GB2312"/>
          <w:color w:val="auto"/>
          <w:sz w:val="32"/>
          <w:szCs w:val="32"/>
        </w:rPr>
        <w:t>100万元；3</w:t>
      </w:r>
      <w:r>
        <w:rPr>
          <w:rFonts w:hint="eastAsia" w:ascii="仿宋_GB2312" w:hAnsi="仿宋_GB2312" w:eastAsia="仿宋_GB2312" w:cs="仿宋_GB2312"/>
          <w:color w:val="auto"/>
          <w:sz w:val="32"/>
          <w:szCs w:val="32"/>
        </w:rPr>
        <w:t>、上年度营业额同比增长</w:t>
      </w:r>
      <w:r>
        <w:rPr>
          <w:rFonts w:ascii="仿宋_GB2312" w:hAnsi="仿宋_GB2312" w:eastAsia="仿宋_GB2312" w:cs="仿宋_GB2312"/>
          <w:color w:val="auto"/>
          <w:sz w:val="32"/>
          <w:szCs w:val="32"/>
        </w:rPr>
        <w:t>10%及以上的统计在库餐饮企业，按照营业增长额的3‰的比例给予资金支持，最高不超过50万元。</w:t>
      </w:r>
    </w:p>
    <w:p>
      <w:pPr>
        <w:pStyle w:val="9"/>
        <w:shd w:val="clear" w:color="auto" w:fill="FFFFFF"/>
        <w:spacing w:before="0" w:beforeAutospacing="0" w:after="0" w:afterAutospacing="0" w:line="56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（三）审核方式：核准制，以区统计部门数据为准。</w:t>
      </w:r>
    </w:p>
    <w:p>
      <w:pPr>
        <w:pStyle w:val="9"/>
        <w:shd w:val="clear" w:color="auto" w:fill="FFFFFF"/>
        <w:spacing w:before="0" w:beforeAutospacing="0" w:after="0" w:afterAutospacing="0" w:line="560" w:lineRule="exact"/>
        <w:ind w:firstLine="643" w:firstLineChars="200"/>
        <w:textAlignment w:val="baseline"/>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第</w:t>
      </w:r>
      <w:r>
        <w:rPr>
          <w:rFonts w:ascii="仿宋_GB2312" w:hAnsi="仿宋_GB2312" w:eastAsia="仿宋_GB2312" w:cs="仿宋_GB2312"/>
          <w:b/>
          <w:bCs/>
          <w:color w:val="auto"/>
          <w:kern w:val="2"/>
          <w:sz w:val="32"/>
          <w:szCs w:val="32"/>
        </w:rPr>
        <w:t>七</w:t>
      </w:r>
      <w:r>
        <w:rPr>
          <w:rFonts w:hint="eastAsia" w:ascii="仿宋_GB2312" w:hAnsi="仿宋_GB2312" w:eastAsia="仿宋_GB2312" w:cs="仿宋_GB2312"/>
          <w:b/>
          <w:bCs/>
          <w:color w:val="auto"/>
          <w:kern w:val="2"/>
          <w:sz w:val="32"/>
          <w:szCs w:val="32"/>
        </w:rPr>
        <w:t>条</w:t>
      </w:r>
      <w:r>
        <w:rPr>
          <w:rFonts w:ascii="仿宋_GB2312" w:hAnsi="仿宋_GB2312" w:eastAsia="仿宋_GB2312" w:cs="仿宋_GB2312"/>
          <w:b/>
          <w:bCs/>
          <w:color w:val="auto"/>
          <w:kern w:val="2"/>
          <w:sz w:val="32"/>
          <w:szCs w:val="32"/>
        </w:rPr>
        <w:t xml:space="preserve">  </w:t>
      </w:r>
      <w:r>
        <w:rPr>
          <w:rFonts w:hint="eastAsia" w:ascii="仿宋_GB2312" w:hAnsi="仿宋_GB2312" w:eastAsia="仿宋_GB2312" w:cs="仿宋_GB2312"/>
          <w:b/>
          <w:bCs/>
          <w:color w:val="auto"/>
          <w:kern w:val="2"/>
          <w:sz w:val="32"/>
          <w:szCs w:val="32"/>
        </w:rPr>
        <w:t>支持电子商务示范基地</w:t>
      </w:r>
      <w:r>
        <w:rPr>
          <w:rFonts w:ascii="仿宋_GB2312" w:hAnsi="仿宋_GB2312" w:eastAsia="仿宋_GB2312" w:cs="仿宋_GB2312"/>
          <w:b/>
          <w:bCs/>
          <w:color w:val="auto"/>
          <w:kern w:val="2"/>
          <w:sz w:val="32"/>
          <w:szCs w:val="32"/>
        </w:rPr>
        <w:t>（园区）</w:t>
      </w:r>
      <w:r>
        <w:rPr>
          <w:rFonts w:hint="eastAsia" w:ascii="仿宋_GB2312" w:hAnsi="仿宋_GB2312" w:eastAsia="仿宋_GB2312" w:cs="仿宋_GB2312"/>
          <w:b/>
          <w:bCs/>
          <w:color w:val="auto"/>
          <w:kern w:val="2"/>
          <w:sz w:val="32"/>
          <w:szCs w:val="32"/>
        </w:rPr>
        <w:t>建设</w:t>
      </w:r>
    </w:p>
    <w:p>
      <w:pPr>
        <w:snapToGrid w:val="0"/>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（一）扶持范围：国家级</w:t>
      </w:r>
      <w:r>
        <w:rPr>
          <w:rFonts w:ascii="仿宋_GB2312" w:hAnsi="仿宋_GB2312" w:eastAsia="仿宋_GB2312" w:cs="仿宋_GB2312"/>
          <w:sz w:val="32"/>
          <w:szCs w:val="32"/>
        </w:rPr>
        <w:t>、省级、市级</w:t>
      </w:r>
      <w:r>
        <w:rPr>
          <w:rFonts w:hint="eastAsia" w:ascii="仿宋_GB2312" w:hAnsi="仿宋_GB2312" w:eastAsia="仿宋_GB2312" w:cs="仿宋_GB2312"/>
          <w:sz w:val="32"/>
          <w:szCs w:val="32"/>
        </w:rPr>
        <w:t>电子商务示范基地</w:t>
      </w:r>
      <w:r>
        <w:rPr>
          <w:rFonts w:ascii="仿宋_GB2312" w:hAnsi="仿宋_GB2312" w:eastAsia="仿宋_GB2312" w:cs="仿宋_GB2312"/>
          <w:sz w:val="32"/>
          <w:szCs w:val="32"/>
        </w:rPr>
        <w:t xml:space="preserve">（园区） </w:t>
      </w:r>
      <w:r>
        <w:rPr>
          <w:rFonts w:hint="eastAsia" w:ascii="仿宋_GB2312" w:hAnsi="仿宋_GB2312" w:eastAsia="仿宋_GB2312" w:cs="仿宋_GB2312"/>
          <w:sz w:val="32"/>
          <w:szCs w:val="32"/>
        </w:rPr>
        <w:t>的统一运营企业</w:t>
      </w:r>
      <w:r>
        <w:rPr>
          <w:rFonts w:hint="eastAsia" w:ascii="仿宋_GB2312" w:hAnsi="仿宋_GB2312" w:eastAsia="仿宋_GB2312" w:cs="仿宋_GB2312"/>
          <w:kern w:val="0"/>
          <w:sz w:val="32"/>
          <w:szCs w:val="32"/>
        </w:rPr>
        <w:t>。</w:t>
      </w:r>
    </w:p>
    <w:p>
      <w:pPr>
        <w:pStyle w:val="9"/>
        <w:shd w:val="clear" w:color="auto" w:fill="FFFFFF"/>
        <w:spacing w:before="0" w:beforeAutospacing="0" w:after="0" w:afterAutospacing="0" w:line="56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（二）扶持方式和标准：对</w:t>
      </w:r>
      <w:r>
        <w:rPr>
          <w:rFonts w:ascii="仿宋_GB2312" w:hAnsi="仿宋_GB2312" w:eastAsia="仿宋_GB2312" w:cs="仿宋_GB2312"/>
          <w:color w:val="auto"/>
          <w:sz w:val="32"/>
          <w:szCs w:val="32"/>
        </w:rPr>
        <w:t>获批</w:t>
      </w:r>
      <w:r>
        <w:rPr>
          <w:rFonts w:hint="eastAsia" w:ascii="仿宋_GB2312" w:hAnsi="仿宋_GB2312" w:eastAsia="仿宋_GB2312" w:cs="仿宋_GB2312"/>
          <w:color w:val="auto"/>
          <w:sz w:val="32"/>
          <w:szCs w:val="32"/>
        </w:rPr>
        <w:t>国家级电子商务示范基地的运营企业，一次性奖励</w:t>
      </w:r>
      <w:r>
        <w:rPr>
          <w:rFonts w:ascii="仿宋_GB2312" w:hAnsi="仿宋_GB2312" w:eastAsia="仿宋_GB2312" w:cs="仿宋_GB2312"/>
          <w:color w:val="auto"/>
          <w:sz w:val="32"/>
          <w:szCs w:val="32"/>
        </w:rPr>
        <w:t>200万元，对获评</w:t>
      </w:r>
      <w:r>
        <w:rPr>
          <w:rFonts w:hint="eastAsia" w:ascii="仿宋_GB2312" w:hAnsi="仿宋_GB2312" w:eastAsia="仿宋_GB2312" w:cs="仿宋_GB2312"/>
          <w:color w:val="auto"/>
          <w:sz w:val="32"/>
          <w:szCs w:val="32"/>
        </w:rPr>
        <w:t>省级电子商务示范</w:t>
      </w:r>
      <w:r>
        <w:rPr>
          <w:rFonts w:ascii="仿宋_GB2312" w:hAnsi="仿宋_GB2312" w:eastAsia="仿宋_GB2312" w:cs="仿宋_GB2312"/>
          <w:color w:val="auto"/>
          <w:sz w:val="32"/>
          <w:szCs w:val="32"/>
        </w:rPr>
        <w:t>园区</w:t>
      </w:r>
      <w:r>
        <w:rPr>
          <w:rFonts w:hint="eastAsia" w:ascii="仿宋_GB2312" w:hAnsi="仿宋_GB2312" w:eastAsia="仿宋_GB2312" w:cs="仿宋_GB2312"/>
          <w:color w:val="auto"/>
          <w:sz w:val="32"/>
          <w:szCs w:val="32"/>
        </w:rPr>
        <w:t>的运营企业，一次性奖励</w:t>
      </w:r>
      <w:r>
        <w:rPr>
          <w:rFonts w:ascii="仿宋_GB2312" w:hAnsi="仿宋_GB2312" w:eastAsia="仿宋_GB2312" w:cs="仿宋_GB2312"/>
          <w:color w:val="auto"/>
          <w:sz w:val="32"/>
          <w:szCs w:val="32"/>
        </w:rPr>
        <w:t>100万元，对获评</w:t>
      </w:r>
      <w:r>
        <w:rPr>
          <w:rFonts w:hint="eastAsia" w:ascii="仿宋_GB2312" w:hAnsi="仿宋_GB2312" w:eastAsia="仿宋_GB2312" w:cs="仿宋_GB2312"/>
          <w:color w:val="auto"/>
          <w:sz w:val="32"/>
          <w:szCs w:val="32"/>
        </w:rPr>
        <w:t>市级电子商务示范</w:t>
      </w:r>
      <w:r>
        <w:rPr>
          <w:rFonts w:ascii="仿宋_GB2312" w:hAnsi="仿宋_GB2312" w:eastAsia="仿宋_GB2312" w:cs="仿宋_GB2312"/>
          <w:color w:val="auto"/>
          <w:sz w:val="32"/>
          <w:szCs w:val="32"/>
        </w:rPr>
        <w:t>园区</w:t>
      </w:r>
      <w:r>
        <w:rPr>
          <w:rFonts w:hint="eastAsia" w:ascii="仿宋_GB2312" w:hAnsi="仿宋_GB2312" w:eastAsia="仿宋_GB2312" w:cs="仿宋_GB2312"/>
          <w:color w:val="auto"/>
          <w:sz w:val="32"/>
          <w:szCs w:val="32"/>
        </w:rPr>
        <w:t>的运营企业，一次性奖励</w:t>
      </w:r>
      <w:r>
        <w:rPr>
          <w:rFonts w:ascii="仿宋_GB2312" w:hAnsi="仿宋_GB2312" w:eastAsia="仿宋_GB2312" w:cs="仿宋_GB2312"/>
          <w:color w:val="auto"/>
          <w:sz w:val="32"/>
          <w:szCs w:val="32"/>
        </w:rPr>
        <w:t>50万元。</w:t>
      </w:r>
    </w:p>
    <w:p>
      <w:pPr>
        <w:pStyle w:val="9"/>
        <w:shd w:val="clear" w:color="auto" w:fill="FFFFFF"/>
        <w:spacing w:before="0" w:beforeAutospacing="0" w:after="0" w:afterAutospacing="0" w:line="56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（三）审核方式：核准制，以企业获</w:t>
      </w:r>
      <w:r>
        <w:rPr>
          <w:rFonts w:ascii="仿宋_GB2312" w:hAnsi="仿宋_GB2312" w:eastAsia="仿宋_GB2312" w:cs="仿宋_GB2312"/>
          <w:color w:val="auto"/>
          <w:sz w:val="32"/>
          <w:szCs w:val="32"/>
        </w:rPr>
        <w:t>批（评）</w:t>
      </w:r>
      <w:r>
        <w:rPr>
          <w:rFonts w:hint="eastAsia" w:ascii="仿宋_GB2312" w:hAnsi="仿宋_GB2312" w:eastAsia="仿宋_GB2312" w:cs="仿宋_GB2312"/>
          <w:color w:val="auto"/>
          <w:sz w:val="32"/>
          <w:szCs w:val="32"/>
        </w:rPr>
        <w:t>国家、省、市商务部门的有关文件为准。</w:t>
      </w:r>
    </w:p>
    <w:p>
      <w:pPr>
        <w:pStyle w:val="9"/>
        <w:shd w:val="clear" w:color="auto" w:fill="FFFFFF"/>
        <w:spacing w:before="0" w:beforeAutospacing="0" w:after="0" w:afterAutospacing="0" w:line="560" w:lineRule="exact"/>
        <w:ind w:firstLine="643" w:firstLineChars="200"/>
        <w:textAlignment w:val="baseline"/>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第</w:t>
      </w:r>
      <w:r>
        <w:rPr>
          <w:rFonts w:ascii="仿宋_GB2312" w:hAnsi="仿宋_GB2312" w:eastAsia="仿宋_GB2312" w:cs="仿宋_GB2312"/>
          <w:b/>
          <w:bCs/>
          <w:color w:val="auto"/>
          <w:kern w:val="2"/>
          <w:sz w:val="32"/>
          <w:szCs w:val="32"/>
        </w:rPr>
        <w:t>八</w:t>
      </w:r>
      <w:r>
        <w:rPr>
          <w:rFonts w:hint="eastAsia" w:ascii="仿宋_GB2312" w:hAnsi="仿宋_GB2312" w:eastAsia="仿宋_GB2312" w:cs="仿宋_GB2312"/>
          <w:b/>
          <w:bCs/>
          <w:color w:val="auto"/>
          <w:kern w:val="2"/>
          <w:sz w:val="32"/>
          <w:szCs w:val="32"/>
        </w:rPr>
        <w:t>条</w:t>
      </w:r>
      <w:r>
        <w:rPr>
          <w:rFonts w:ascii="仿宋_GB2312" w:hAnsi="仿宋_GB2312" w:eastAsia="仿宋_GB2312" w:cs="仿宋_GB2312"/>
          <w:b/>
          <w:bCs/>
          <w:color w:val="auto"/>
          <w:kern w:val="2"/>
          <w:sz w:val="32"/>
          <w:szCs w:val="32"/>
        </w:rPr>
        <w:t xml:space="preserve">  </w:t>
      </w:r>
      <w:r>
        <w:rPr>
          <w:rFonts w:hint="eastAsia" w:ascii="仿宋_GB2312" w:hAnsi="仿宋_GB2312" w:eastAsia="仿宋_GB2312" w:cs="仿宋_GB2312"/>
          <w:b/>
          <w:bCs/>
          <w:color w:val="auto"/>
          <w:kern w:val="2"/>
          <w:sz w:val="32"/>
          <w:szCs w:val="32"/>
        </w:rPr>
        <w:t>支持举办促消费活动</w:t>
      </w:r>
    </w:p>
    <w:p>
      <w:pPr>
        <w:snapToGrid w:val="0"/>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（一）扶持范围：</w:t>
      </w:r>
      <w:r>
        <w:rPr>
          <w:rFonts w:hint="eastAsia" w:ascii="仿宋_GB2312" w:hAnsi="仿宋_GB2312" w:eastAsia="仿宋_GB2312" w:cs="仿宋_GB2312"/>
          <w:sz w:val="32"/>
          <w:szCs w:val="32"/>
          <w:lang w:val="zh-TW"/>
        </w:rPr>
        <w:t>对列入全</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zh-TW"/>
        </w:rPr>
        <w:t>促消费活动方案的活动</w:t>
      </w:r>
      <w:r>
        <w:rPr>
          <w:rFonts w:hint="eastAsia" w:ascii="仿宋_GB2312" w:hAnsi="仿宋_GB2312" w:eastAsia="仿宋_GB2312" w:cs="仿宋_GB2312"/>
          <w:sz w:val="32"/>
          <w:szCs w:val="32"/>
        </w:rPr>
        <w:t>执行企业</w:t>
      </w:r>
      <w:r>
        <w:rPr>
          <w:rFonts w:hint="eastAsia" w:ascii="仿宋_GB2312" w:hAnsi="仿宋_GB2312" w:eastAsia="仿宋_GB2312" w:cs="仿宋_GB2312"/>
          <w:kern w:val="0"/>
          <w:sz w:val="32"/>
          <w:szCs w:val="32"/>
        </w:rPr>
        <w:t>。</w:t>
      </w:r>
    </w:p>
    <w:p>
      <w:pPr>
        <w:pStyle w:val="9"/>
        <w:shd w:val="clear" w:color="auto" w:fill="FFFFFF"/>
        <w:spacing w:before="0" w:beforeAutospacing="0" w:after="0" w:afterAutospacing="0" w:line="56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（二）扶持方式和标准：</w:t>
      </w:r>
      <w:r>
        <w:rPr>
          <w:rFonts w:hint="eastAsia" w:ascii="仿宋_GB2312" w:hAnsi="仿宋_GB2312" w:eastAsia="仿宋_GB2312" w:cs="仿宋_GB2312"/>
          <w:color w:val="auto"/>
          <w:sz w:val="32"/>
          <w:szCs w:val="32"/>
          <w:lang w:val="zh-TW"/>
        </w:rPr>
        <w:t>按</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val="zh-TW"/>
        </w:rPr>
        <w:t>实际投入的</w:t>
      </w:r>
      <w:r>
        <w:rPr>
          <w:rFonts w:ascii="仿宋_GB2312" w:hAnsi="仿宋_GB2312" w:eastAsia="仿宋_GB2312" w:cs="仿宋_GB2312"/>
          <w:color w:val="auto"/>
          <w:sz w:val="32"/>
          <w:szCs w:val="32"/>
          <w:lang w:val="zh-TW"/>
        </w:rPr>
        <w:t>50%给予</w:t>
      </w:r>
      <w:r>
        <w:rPr>
          <w:rFonts w:hint="eastAsia" w:ascii="仿宋_GB2312" w:hAnsi="仿宋_GB2312" w:eastAsia="仿宋_GB2312" w:cs="仿宋_GB2312"/>
          <w:color w:val="auto"/>
          <w:sz w:val="32"/>
          <w:szCs w:val="32"/>
        </w:rPr>
        <w:t>一次性奖励，最高不超过</w:t>
      </w:r>
      <w:r>
        <w:rPr>
          <w:rFonts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rPr>
        <w:t>万元。</w:t>
      </w:r>
    </w:p>
    <w:p>
      <w:pPr>
        <w:pStyle w:val="9"/>
        <w:shd w:val="clear" w:color="auto" w:fill="FFFFFF"/>
        <w:spacing w:before="0" w:beforeAutospacing="0" w:after="0" w:afterAutospacing="0" w:line="56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（三）审核方式：核准制，以区商务部门发布的有关文件</w:t>
      </w:r>
      <w:r>
        <w:rPr>
          <w:rFonts w:ascii="仿宋_GB2312" w:hAnsi="仿宋_GB2312" w:eastAsia="仿宋_GB2312" w:cs="仿宋_GB2312"/>
          <w:color w:val="auto"/>
          <w:sz w:val="32"/>
          <w:szCs w:val="32"/>
        </w:rPr>
        <w:t>（经备案）</w:t>
      </w:r>
      <w:r>
        <w:rPr>
          <w:rFonts w:hint="eastAsia" w:ascii="仿宋_GB2312" w:hAnsi="仿宋_GB2312" w:eastAsia="仿宋_GB2312" w:cs="仿宋_GB2312"/>
          <w:color w:val="auto"/>
          <w:sz w:val="32"/>
          <w:szCs w:val="32"/>
        </w:rPr>
        <w:t>及企业实际投入经第三方专业机构审计结果为准。</w:t>
      </w:r>
    </w:p>
    <w:p>
      <w:pPr>
        <w:pStyle w:val="9"/>
        <w:shd w:val="clear" w:color="auto" w:fill="FFFFFF"/>
        <w:spacing w:before="0" w:beforeAutospacing="0" w:after="0" w:afterAutospacing="0" w:line="560" w:lineRule="exact"/>
        <w:ind w:firstLine="643" w:firstLineChars="200"/>
        <w:textAlignment w:val="baseline"/>
        <w:rPr>
          <w:rFonts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第</w:t>
      </w:r>
      <w:r>
        <w:rPr>
          <w:rFonts w:ascii="仿宋_GB2312" w:hAnsi="仿宋_GB2312" w:eastAsia="仿宋_GB2312" w:cs="仿宋_GB2312"/>
          <w:b/>
          <w:bCs/>
          <w:color w:val="auto"/>
          <w:kern w:val="2"/>
          <w:sz w:val="32"/>
          <w:szCs w:val="32"/>
        </w:rPr>
        <w:t>九</w:t>
      </w:r>
      <w:r>
        <w:rPr>
          <w:rFonts w:hint="eastAsia" w:ascii="仿宋_GB2312" w:hAnsi="仿宋_GB2312" w:eastAsia="仿宋_GB2312" w:cs="仿宋_GB2312"/>
          <w:b/>
          <w:bCs/>
          <w:color w:val="auto"/>
          <w:kern w:val="2"/>
          <w:sz w:val="32"/>
          <w:szCs w:val="32"/>
        </w:rPr>
        <w:t>条</w:t>
      </w:r>
      <w:r>
        <w:rPr>
          <w:rFonts w:ascii="仿宋_GB2312" w:hAnsi="仿宋_GB2312" w:eastAsia="仿宋_GB2312" w:cs="仿宋_GB2312"/>
          <w:b/>
          <w:bCs/>
          <w:color w:val="auto"/>
          <w:kern w:val="2"/>
          <w:sz w:val="32"/>
          <w:szCs w:val="32"/>
        </w:rPr>
        <w:t xml:space="preserve">  </w:t>
      </w:r>
      <w:r>
        <w:rPr>
          <w:rFonts w:hint="eastAsia" w:ascii="仿宋_GB2312" w:hAnsi="仿宋_GB2312" w:eastAsia="仿宋_GB2312" w:cs="仿宋_GB2312"/>
          <w:b/>
          <w:bCs/>
          <w:color w:val="auto"/>
          <w:kern w:val="2"/>
          <w:sz w:val="32"/>
          <w:szCs w:val="32"/>
        </w:rPr>
        <w:t>支持夜间经济发展</w:t>
      </w:r>
    </w:p>
    <w:p>
      <w:pPr>
        <w:pStyle w:val="9"/>
        <w:shd w:val="clear" w:color="auto" w:fill="FFFFFF"/>
        <w:spacing w:before="0" w:beforeAutospacing="0" w:after="0" w:afterAutospacing="0" w:line="56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（一）扶持范围：经市、区商务部门认定的夜间经济示范街区。</w:t>
      </w:r>
    </w:p>
    <w:p>
      <w:pPr>
        <w:pStyle w:val="9"/>
        <w:shd w:val="clear" w:color="auto" w:fill="FFFFFF"/>
        <w:spacing w:before="0" w:beforeAutospacing="0" w:after="0" w:afterAutospacing="0" w:line="56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（二）扶持方式和标准：对全市夜间经济示范街区的运营企业一次性奖励</w:t>
      </w:r>
      <w:r>
        <w:rPr>
          <w:rFonts w:ascii="仿宋_GB2312" w:hAnsi="仿宋_GB2312" w:eastAsia="仿宋_GB2312" w:cs="仿宋_GB2312"/>
          <w:color w:val="auto"/>
          <w:sz w:val="32"/>
          <w:szCs w:val="32"/>
        </w:rPr>
        <w:t>200</w:t>
      </w:r>
      <w:r>
        <w:rPr>
          <w:rFonts w:hint="eastAsia" w:ascii="仿宋_GB2312" w:hAnsi="仿宋_GB2312" w:eastAsia="仿宋_GB2312" w:cs="仿宋_GB2312"/>
          <w:color w:val="auto"/>
          <w:sz w:val="32"/>
          <w:szCs w:val="32"/>
        </w:rPr>
        <w:t>万元；对龙岗区夜间经济示范街区的运营企业一次性奖励</w:t>
      </w:r>
      <w:r>
        <w:rPr>
          <w:rFonts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rPr>
        <w:t>万元。</w:t>
      </w:r>
    </w:p>
    <w:p>
      <w:pPr>
        <w:pStyle w:val="9"/>
        <w:shd w:val="clear" w:color="auto" w:fill="FFFFFF"/>
        <w:spacing w:before="0" w:beforeAutospacing="0" w:after="0" w:afterAutospacing="0" w:line="56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（三）审核方式：核准制，以企业获得市、区商务部门认定</w:t>
      </w:r>
      <w:r>
        <w:rPr>
          <w:rFonts w:ascii="仿宋_GB2312" w:hAnsi="仿宋_GB2312" w:eastAsia="仿宋_GB2312" w:cs="仿宋_GB2312"/>
          <w:color w:val="auto"/>
          <w:sz w:val="32"/>
          <w:szCs w:val="32"/>
        </w:rPr>
        <w:t>的夜间经济示范街区文件</w:t>
      </w:r>
      <w:r>
        <w:rPr>
          <w:rFonts w:hint="eastAsia" w:ascii="仿宋_GB2312" w:hAnsi="仿宋_GB2312" w:eastAsia="仿宋_GB2312" w:cs="仿宋_GB2312"/>
          <w:color w:val="auto"/>
          <w:sz w:val="32"/>
          <w:szCs w:val="32"/>
        </w:rPr>
        <w:t>为准。</w:t>
      </w:r>
    </w:p>
    <w:p>
      <w:pPr>
        <w:pStyle w:val="9"/>
        <w:shd w:val="clear" w:color="auto" w:fill="FFFFFF"/>
        <w:spacing w:before="0" w:beforeAutospacing="0" w:after="0" w:afterAutospacing="0" w:line="560" w:lineRule="exact"/>
        <w:ind w:firstLine="643" w:firstLineChars="200"/>
        <w:textAlignment w:val="baseline"/>
        <w:rPr>
          <w:rFonts w:hint="eastAsia"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第</w:t>
      </w:r>
      <w:r>
        <w:rPr>
          <w:rFonts w:ascii="仿宋_GB2312" w:hAnsi="仿宋_GB2312" w:eastAsia="仿宋_GB2312" w:cs="仿宋_GB2312"/>
          <w:b/>
          <w:bCs/>
          <w:color w:val="auto"/>
          <w:kern w:val="2"/>
          <w:sz w:val="32"/>
          <w:szCs w:val="32"/>
        </w:rPr>
        <w:t>十</w:t>
      </w:r>
      <w:r>
        <w:rPr>
          <w:rFonts w:hint="eastAsia" w:ascii="仿宋_GB2312" w:hAnsi="仿宋_GB2312" w:eastAsia="仿宋_GB2312" w:cs="仿宋_GB2312"/>
          <w:b/>
          <w:bCs/>
          <w:color w:val="auto"/>
          <w:kern w:val="2"/>
          <w:sz w:val="32"/>
          <w:szCs w:val="32"/>
        </w:rPr>
        <w:t>条 支持高端消费品牌集聚</w:t>
      </w:r>
    </w:p>
    <w:p>
      <w:pPr>
        <w:pStyle w:val="9"/>
        <w:shd w:val="clear" w:color="auto" w:fill="FFFFFF"/>
        <w:spacing w:before="0" w:beforeAutospacing="0" w:after="0" w:afterAutospacing="0" w:line="560" w:lineRule="exact"/>
        <w:ind w:firstLine="640" w:firstLineChars="200"/>
        <w:textAlignment w:val="baseline"/>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（一）扶持范围：对“汇聚高端消费品牌资源”“打造全球新零售发展高地”项目获得市商务局奖励的企业。</w:t>
      </w:r>
    </w:p>
    <w:p>
      <w:pPr>
        <w:pStyle w:val="9"/>
        <w:shd w:val="clear" w:color="auto" w:fill="FFFFFF"/>
        <w:spacing w:before="0" w:beforeAutospacing="0" w:after="0" w:afterAutospacing="0" w:line="56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（二）扶持方式和标准：</w:t>
      </w:r>
    </w:p>
    <w:p>
      <w:pPr>
        <w:pStyle w:val="9"/>
        <w:shd w:val="clear" w:color="auto" w:fill="FFFFFF"/>
        <w:spacing w:before="0" w:beforeAutospacing="0" w:after="0" w:afterAutospacing="0" w:line="560" w:lineRule="exact"/>
        <w:ind w:firstLine="640" w:firstLineChars="200"/>
        <w:textAlignment w:val="baseline"/>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1.汇聚高端消费品牌资源。</w:t>
      </w:r>
      <w:r>
        <w:rPr>
          <w:rFonts w:hint="eastAsia" w:ascii="仿宋_GB2312" w:hAnsi="仿宋_GB2312" w:eastAsia="仿宋_GB2312" w:cs="仿宋_GB2312"/>
          <w:color w:val="auto"/>
          <w:sz w:val="32"/>
          <w:szCs w:val="32"/>
          <w:lang w:val="zh-TW"/>
        </w:rPr>
        <w:t>做强“首店经济”和“首发经济”，支持国内外知名品牌在深设立首店、旗舰店、新</w:t>
      </w:r>
      <w:r>
        <w:rPr>
          <w:rFonts w:hint="eastAsia" w:ascii="仿宋_GB2312" w:hAnsi="仿宋_GB2312" w:eastAsia="仿宋_GB2312" w:cs="仿宋_GB2312"/>
          <w:color w:val="auto"/>
          <w:sz w:val="32"/>
          <w:szCs w:val="32"/>
        </w:rPr>
        <w:t>概念店</w:t>
      </w:r>
      <w:r>
        <w:rPr>
          <w:rFonts w:hint="eastAsia" w:ascii="仿宋_GB2312" w:hAnsi="仿宋_GB2312" w:eastAsia="仿宋_GB2312" w:cs="仿宋_GB2312"/>
          <w:color w:val="auto"/>
          <w:sz w:val="32"/>
          <w:szCs w:val="32"/>
          <w:lang w:val="zh-TW"/>
        </w:rPr>
        <w:t>等，鼓励国内外知名品牌在深首发和同步上市新品，对引入国内外知名品牌的运营</w:t>
      </w:r>
      <w:r>
        <w:rPr>
          <w:rFonts w:hint="eastAsia" w:ascii="仿宋_GB2312" w:hAnsi="仿宋_GB2312" w:eastAsia="仿宋_GB2312" w:cs="仿宋_GB2312"/>
          <w:color w:val="auto"/>
          <w:sz w:val="32"/>
          <w:szCs w:val="32"/>
        </w:rPr>
        <w:t>企业</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rPr>
        <w:t>每个品牌奖励</w:t>
      </w:r>
      <w:r>
        <w:rPr>
          <w:rFonts w:ascii="仿宋_GB2312" w:hAnsi="仿宋_GB2312" w:eastAsia="仿宋_GB2312" w:cs="仿宋_GB2312"/>
          <w:color w:val="auto"/>
          <w:sz w:val="32"/>
          <w:szCs w:val="32"/>
        </w:rPr>
        <w:t>10</w:t>
      </w:r>
      <w:r>
        <w:rPr>
          <w:rFonts w:hint="eastAsia" w:ascii="仿宋_GB2312" w:hAnsi="仿宋_GB2312" w:eastAsia="仿宋_GB2312" w:cs="仿宋_GB2312"/>
          <w:color w:val="auto"/>
          <w:sz w:val="32"/>
          <w:szCs w:val="32"/>
          <w:lang w:val="zh-TW"/>
        </w:rPr>
        <w:t>万元，</w:t>
      </w:r>
      <w:r>
        <w:rPr>
          <w:rFonts w:hint="eastAsia" w:ascii="仿宋_GB2312" w:hAnsi="仿宋_GB2312" w:eastAsia="仿宋_GB2312" w:cs="仿宋_GB2312"/>
          <w:color w:val="auto"/>
          <w:sz w:val="32"/>
          <w:szCs w:val="32"/>
        </w:rPr>
        <w:t>单个</w:t>
      </w:r>
      <w:r>
        <w:rPr>
          <w:rFonts w:hint="eastAsia" w:ascii="仿宋_GB2312" w:hAnsi="仿宋_GB2312" w:eastAsia="仿宋_GB2312" w:cs="仿宋_GB2312"/>
          <w:color w:val="auto"/>
          <w:sz w:val="32"/>
          <w:szCs w:val="32"/>
          <w:lang w:val="zh-TW"/>
        </w:rPr>
        <w:t>企业每年奖励不超过</w:t>
      </w:r>
      <w:r>
        <w:rPr>
          <w:rFonts w:ascii="仿宋_GB2312" w:hAnsi="仿宋_GB2312" w:eastAsia="仿宋_GB2312" w:cs="仿宋_GB2312"/>
          <w:color w:val="auto"/>
          <w:sz w:val="32"/>
          <w:szCs w:val="32"/>
        </w:rPr>
        <w:t>250</w:t>
      </w:r>
      <w:r>
        <w:rPr>
          <w:rFonts w:hint="eastAsia" w:ascii="仿宋_GB2312" w:hAnsi="仿宋_GB2312" w:eastAsia="仿宋_GB2312" w:cs="仿宋_GB2312"/>
          <w:color w:val="auto"/>
          <w:sz w:val="32"/>
          <w:szCs w:val="32"/>
          <w:lang w:val="zh-TW"/>
        </w:rPr>
        <w:t>万元。</w:t>
      </w:r>
      <w:r>
        <w:rPr>
          <w:rFonts w:hint="eastAsia" w:ascii="仿宋_GB2312" w:hAnsi="仿宋_GB2312" w:eastAsia="仿宋_GB2312" w:cs="仿宋_GB2312"/>
          <w:color w:val="auto"/>
          <w:sz w:val="32"/>
          <w:szCs w:val="32"/>
        </w:rPr>
        <w:t>对在</w:t>
      </w:r>
      <w:r>
        <w:rPr>
          <w:rFonts w:ascii="仿宋_GB2312" w:hAnsi="仿宋_GB2312" w:eastAsia="仿宋_GB2312" w:cs="仿宋_GB2312"/>
          <w:color w:val="auto"/>
          <w:sz w:val="32"/>
          <w:szCs w:val="32"/>
        </w:rPr>
        <w:t>龙岗</w:t>
      </w:r>
      <w:r>
        <w:rPr>
          <w:rFonts w:hint="eastAsia" w:ascii="仿宋_GB2312" w:hAnsi="仿宋_GB2312" w:eastAsia="仿宋_GB2312" w:cs="仿宋_GB2312"/>
          <w:color w:val="auto"/>
          <w:sz w:val="32"/>
          <w:szCs w:val="32"/>
        </w:rPr>
        <w:t>设立独立法人机构的知名品牌奖励</w:t>
      </w:r>
      <w:r>
        <w:rPr>
          <w:rFonts w:ascii="仿宋_GB2312" w:hAnsi="仿宋_GB2312" w:eastAsia="仿宋_GB2312" w:cs="仿宋_GB2312"/>
          <w:color w:val="auto"/>
          <w:sz w:val="32"/>
          <w:szCs w:val="32"/>
        </w:rPr>
        <w:t>25</w:t>
      </w:r>
      <w:r>
        <w:rPr>
          <w:rFonts w:hint="eastAsia" w:ascii="仿宋_GB2312" w:hAnsi="仿宋_GB2312" w:eastAsia="仿宋_GB2312" w:cs="仿宋_GB2312"/>
          <w:color w:val="auto"/>
          <w:sz w:val="32"/>
          <w:szCs w:val="32"/>
        </w:rPr>
        <w:t>万元。</w:t>
      </w:r>
    </w:p>
    <w:p>
      <w:pPr>
        <w:pStyle w:val="9"/>
        <w:shd w:val="clear" w:color="auto" w:fill="FFFFFF"/>
        <w:spacing w:before="0" w:beforeAutospacing="0" w:after="0" w:afterAutospacing="0" w:line="560" w:lineRule="exact"/>
        <w:ind w:firstLine="640" w:firstLineChars="200"/>
        <w:textAlignment w:val="baseline"/>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zh-TW"/>
        </w:rPr>
        <w:t>打造全球新零售发展高地。实施“数字兴商工程”，大力推进商贸企业消费场景数字化和信息化，对数字化项目按实际投入的</w:t>
      </w:r>
      <w:r>
        <w:rPr>
          <w:rFonts w:ascii="仿宋_GB2312" w:hAnsi="仿宋_GB2312" w:eastAsia="仿宋_GB2312" w:cs="仿宋_GB2312"/>
          <w:color w:val="auto"/>
          <w:sz w:val="32"/>
          <w:szCs w:val="32"/>
        </w:rPr>
        <w:t>1</w:t>
      </w:r>
      <w:r>
        <w:rPr>
          <w:rFonts w:ascii="仿宋_GB2312" w:hAnsi="仿宋_GB2312" w:eastAsia="仿宋_GB2312" w:cs="仿宋_GB2312"/>
          <w:color w:val="auto"/>
          <w:sz w:val="32"/>
          <w:szCs w:val="32"/>
          <w:lang w:val="zh-TW"/>
        </w:rPr>
        <w:t>0%，最高给予</w:t>
      </w:r>
      <w:r>
        <w:rPr>
          <w:rFonts w:ascii="仿宋_GB2312" w:hAnsi="仿宋_GB2312" w:eastAsia="仿宋_GB2312" w:cs="仿宋_GB2312"/>
          <w:color w:val="auto"/>
          <w:sz w:val="32"/>
          <w:szCs w:val="32"/>
        </w:rPr>
        <w:t>15</w:t>
      </w:r>
      <w:r>
        <w:rPr>
          <w:rFonts w:ascii="仿宋_GB2312" w:hAnsi="仿宋_GB2312" w:eastAsia="仿宋_GB2312" w:cs="仿宋_GB2312"/>
          <w:color w:val="auto"/>
          <w:sz w:val="32"/>
          <w:szCs w:val="32"/>
          <w:lang w:val="zh-TW"/>
        </w:rPr>
        <w:t>0万元资助。</w:t>
      </w:r>
    </w:p>
    <w:p>
      <w:pPr>
        <w:pStyle w:val="9"/>
        <w:shd w:val="clear" w:color="auto" w:fill="FFFFFF"/>
        <w:spacing w:before="0" w:beforeAutospacing="0" w:after="0" w:afterAutospacing="0" w:line="560" w:lineRule="exact"/>
        <w:ind w:firstLine="640" w:firstLineChars="200"/>
        <w:textAlignment w:val="baseline"/>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（三）审核方式：核准制，以企业获得市商务局</w:t>
      </w:r>
      <w:r>
        <w:rPr>
          <w:rFonts w:ascii="仿宋_GB2312" w:hAnsi="仿宋_GB2312" w:eastAsia="仿宋_GB2312" w:cs="仿宋_GB2312"/>
          <w:color w:val="auto"/>
          <w:sz w:val="32"/>
          <w:szCs w:val="32"/>
        </w:rPr>
        <w:t>奖励</w:t>
      </w:r>
      <w:r>
        <w:rPr>
          <w:rFonts w:hint="eastAsia" w:ascii="仿宋_GB2312" w:hAnsi="仿宋_GB2312" w:eastAsia="仿宋_GB2312" w:cs="仿宋_GB2312"/>
          <w:color w:val="auto"/>
          <w:sz w:val="32"/>
          <w:szCs w:val="32"/>
        </w:rPr>
        <w:t>的有关文件及拨款经费进账凭证为准。</w:t>
      </w:r>
    </w:p>
    <w:p>
      <w:pPr>
        <w:pStyle w:val="9"/>
        <w:shd w:val="clear" w:color="auto" w:fill="FFFFFF"/>
        <w:snapToGrid w:val="0"/>
        <w:spacing w:line="560" w:lineRule="exact"/>
        <w:ind w:firstLine="643" w:firstLineChars="200"/>
        <w:textAlignment w:val="baseline"/>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第十</w:t>
      </w:r>
      <w:r>
        <w:rPr>
          <w:rFonts w:ascii="仿宋_GB2312" w:hAnsi="仿宋_GB2312" w:eastAsia="仿宋_GB2312" w:cs="仿宋_GB2312"/>
          <w:b/>
          <w:bCs/>
          <w:color w:val="auto"/>
          <w:sz w:val="32"/>
          <w:szCs w:val="32"/>
        </w:rPr>
        <w:t>一</w:t>
      </w:r>
      <w:r>
        <w:rPr>
          <w:rFonts w:hint="eastAsia" w:ascii="仿宋_GB2312" w:hAnsi="仿宋_GB2312" w:eastAsia="仿宋_GB2312" w:cs="仿宋_GB2312"/>
          <w:b/>
          <w:bCs/>
          <w:color w:val="auto"/>
          <w:sz w:val="32"/>
          <w:szCs w:val="32"/>
        </w:rPr>
        <w:t>条　支持工业设计发展</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扶持范围：获得《深圳市关于促进工业设计发展的若干措施》中关于“工业设计中心”、“工业设计研究院”、“知名工业设计奖项”、“工业设计创新与转化应用”、“中小微制造企业工业设计应用”、“工业设计创新服务支撑平台”项目扶持的企业。</w:t>
      </w:r>
    </w:p>
    <w:p>
      <w:pPr>
        <w:pStyle w:val="2"/>
        <w:ind w:firstLine="640" w:firstLineChars="200"/>
        <w:rPr>
          <w:rFonts w:hint="eastAsia" w:ascii="仿宋_GB2312" w:hAnsi="仿宋_GB2312" w:eastAsia="仿宋_GB2312" w:cs="仿宋_GB2312"/>
        </w:rPr>
      </w:pPr>
      <w:r>
        <w:rPr>
          <w:rFonts w:hint="eastAsia" w:ascii="仿宋_GB2312" w:hAnsi="仿宋_GB2312" w:eastAsia="仿宋_GB2312" w:cs="仿宋_GB2312"/>
          <w:kern w:val="0"/>
          <w:sz w:val="32"/>
          <w:szCs w:val="32"/>
        </w:rPr>
        <w:t>（二）扶持方式和标准：</w:t>
      </w:r>
    </w:p>
    <w:p>
      <w:pPr>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经认定为“国家级工业设计中心”、“广东省工业设计中心”、“深圳市工业设计中心”的企业，按照获得深圳市实际扶持额的50%给予奖励，国家级工业设计中心最高不超过250万元，省、市级工业设计中心最高不超过150万元；</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2.经认定的国家级、市级工业设计研究院，按照获得深圳市实际扶持额的25%给予奖励，最高分别不超过750万元和500万元；　</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对获得中国优秀工业设计奖、广东省“省长杯”工业设计奖、iF奖、红点奖、IDEA奖、GMARK奖等国内外权威机构颁发的知名工业设计奖项的企业，按照不超过获得深圳市实际扶持额的50%给予奖励，单个企业每年最高不超过25万元</w:t>
      </w:r>
      <w:r>
        <w:rPr>
          <w:rFonts w:hint="eastAsia" w:ascii="仿宋_GB2312" w:hAnsi="仿宋_GB2312" w:eastAsia="仿宋_GB2312" w:cs="仿宋_GB2312"/>
          <w:kern w:val="0"/>
          <w:sz w:val="32"/>
          <w:szCs w:val="32"/>
          <w:lang w:bidi="ar"/>
        </w:rPr>
        <w:t>；</w:t>
      </w:r>
    </w:p>
    <w:p>
      <w:pPr>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4.对获得深圳市工业设计创新与转化应用项目扶持的企业，按照获得深圳市实际扶持额的20%给予奖励，最高不超过100万元；</w:t>
      </w:r>
    </w:p>
    <w:p>
      <w:pPr>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5.对获得深圳市中小微制造企业工业设计应用项目扶持的企业，按照获得深圳市实际扶持额的50%给予奖励，最高不超过15万元；</w:t>
      </w:r>
    </w:p>
    <w:p>
      <w:pPr>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6.对获得深圳市工业设计创新服务支撑平台项目扶持的企业，按照获得深圳市实际扶持额的50%给予奖励，最高不超过150万元；</w:t>
      </w:r>
    </w:p>
    <w:p>
      <w:pPr>
        <w:pStyle w:val="2"/>
        <w:rPr>
          <w:rFonts w:hint="eastAsia" w:ascii="仿宋_GB2312" w:hAnsi="仿宋_GB2312" w:eastAsia="仿宋_GB2312" w:cs="仿宋_GB2312"/>
        </w:rPr>
      </w:pPr>
      <w:r>
        <w:rPr>
          <w:rFonts w:hint="eastAsia" w:ascii="仿宋_GB2312" w:hAnsi="仿宋_GB2312" w:eastAsia="仿宋_GB2312" w:cs="仿宋_GB2312"/>
          <w:kern w:val="0"/>
          <w:sz w:val="32"/>
          <w:szCs w:val="32"/>
        </w:rPr>
        <w:t xml:space="preserve">    本条款不适用已获区文化广电旅游体育局扶持的工业设计奖励的项目。</w:t>
      </w:r>
    </w:p>
    <w:p>
      <w:pPr>
        <w:spacing w:line="560" w:lineRule="exac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（三）审核方式：核准制。以企业获得</w:t>
      </w:r>
      <w:r>
        <w:rPr>
          <w:rFonts w:hint="eastAsia" w:ascii="仿宋_GB2312" w:hAnsi="仿宋_GB2312" w:eastAsia="仿宋_GB2312" w:cs="仿宋_GB2312"/>
          <w:sz w:val="32"/>
          <w:szCs w:val="32"/>
        </w:rPr>
        <w:t>深圳市工业和信息化局认定或资助的有关文件及拨款经费进账凭证为准。</w:t>
      </w:r>
    </w:p>
    <w:p>
      <w:pPr>
        <w:pStyle w:val="2"/>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第十</w:t>
      </w:r>
      <w:r>
        <w:rPr>
          <w:rFonts w:ascii="仿宋_GB2312" w:hAnsi="仿宋_GB2312" w:eastAsia="仿宋_GB2312" w:cs="仿宋_GB2312"/>
          <w:b/>
          <w:bCs/>
          <w:sz w:val="32"/>
          <w:szCs w:val="32"/>
        </w:rPr>
        <w:t>二</w:t>
      </w:r>
      <w:r>
        <w:rPr>
          <w:rFonts w:hint="eastAsia" w:ascii="仿宋_GB2312" w:hAnsi="仿宋_GB2312" w:eastAsia="仿宋_GB2312" w:cs="仿宋_GB2312"/>
          <w:b/>
          <w:bCs/>
          <w:sz w:val="32"/>
          <w:szCs w:val="32"/>
        </w:rPr>
        <w:t>条</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支持企业、行业组织自行参展</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扶持范围：参加列入区工业和信息化局年度重点支持展会目录的大型综合展会、专业展会、境外展会、线上展会以及以动态走秀静态展示为主的展览的龙岗区行业组织和规模（限额）以上企业（含眼镜行业企业）。国家、省、市等上级单位要求我区扶持的参展企业，按第十五条执行。</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（二）扶持方式和标准：</w:t>
      </w:r>
    </w:p>
    <w:p>
      <w:pPr>
        <w:pStyle w:val="2"/>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对已获得深圳市参展费用扶持的企业（不含眼镜行业企业），如市级扶持未超过实际发生展位费（线下为展位、场地、空间租赁费用；线上展会为平台入驻、展示服务费用，下同）的50%，按1:1比例配套扶持；如市级扶持超过实际发生展位费的50%，按企业实际发生展位费与市级扶持的差额给予扶持。对已获得深圳市参展费用扶持的眼镜行业企业，按企业实际发生展位费与市级扶持的差额给予扶持（不超扶持额上限）。单个企业每个展会扶持额最高不超过3万元，单个企业每年申报项目不得超过10个、扶持总额最高不超过30万元。</w:t>
      </w:r>
    </w:p>
    <w:p>
      <w:pPr>
        <w:pStyle w:val="2"/>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对未获得深圳市参展费用扶持的企业（不含眼镜行业企业），按企业实际发生展位费60%给予扶持。对未获得深圳市参展费用扶持的眼镜行业企业的展位费给予全额扶持（不超扶持额上限）。单个企业每个展会扶持额最高不超过3万元，单个企业每年申报项目不得超过10个、扶持总额最高不超过30万元。</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（三）审核方式：核准制。</w:t>
      </w:r>
    </w:p>
    <w:p>
      <w:pPr>
        <w:pStyle w:val="2"/>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第十</w:t>
      </w:r>
      <w:r>
        <w:rPr>
          <w:rFonts w:ascii="仿宋_GB2312" w:hAnsi="仿宋_GB2312" w:eastAsia="仿宋_GB2312" w:cs="仿宋_GB2312"/>
          <w:b/>
          <w:bCs/>
          <w:sz w:val="32"/>
          <w:szCs w:val="32"/>
        </w:rPr>
        <w:t>三</w:t>
      </w:r>
      <w:r>
        <w:rPr>
          <w:rFonts w:hint="eastAsia" w:ascii="仿宋_GB2312" w:hAnsi="仿宋_GB2312" w:eastAsia="仿宋_GB2312" w:cs="仿宋_GB2312"/>
          <w:b/>
          <w:bCs/>
          <w:sz w:val="32"/>
          <w:szCs w:val="32"/>
        </w:rPr>
        <w:t>条</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鼓励企业参加政府统一组织展会</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扶持范围：参加由区政府统一组团参加的展会的龙岗区企业或行业组织；参加市级部门要求我区组团参加，并由区产业主管部门统一组团参加的展会的龙岗区企业或行业组织；承办区政府相关部门或街道办组团参展并报区产业主管部门备案同意的活动的行业组织。</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（二）扶持方式和标准：</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经区工业和信息化局党组会议审议通过，对参加展会产生的商务、物流、宣传推介、展位租用及布展装修等费用，给予全额扶持。</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（三）审核方式：核准制。</w:t>
      </w:r>
    </w:p>
    <w:p>
      <w:pPr>
        <w:pStyle w:val="2"/>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第十</w:t>
      </w:r>
      <w:r>
        <w:rPr>
          <w:rFonts w:ascii="仿宋_GB2312" w:hAnsi="仿宋_GB2312" w:eastAsia="仿宋_GB2312" w:cs="仿宋_GB2312"/>
          <w:b/>
          <w:bCs/>
          <w:sz w:val="32"/>
          <w:szCs w:val="32"/>
        </w:rPr>
        <w:t>四</w:t>
      </w:r>
      <w:r>
        <w:rPr>
          <w:rFonts w:hint="eastAsia" w:ascii="仿宋_GB2312" w:hAnsi="仿宋_GB2312" w:eastAsia="仿宋_GB2312" w:cs="仿宋_GB2312"/>
          <w:b/>
          <w:bCs/>
          <w:sz w:val="32"/>
          <w:szCs w:val="32"/>
        </w:rPr>
        <w:t>条</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获得上级部门支持的展会扶持项目</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（一）扶持范围：参加国家、省、市等上级单位要求我区扶持的大型综合展会、专业展会、境外展会、线上展会以及以动态走秀静态展示为主的展览的企业。</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（二）扶持方式和标准：</w:t>
      </w:r>
    </w:p>
    <w:p>
      <w:pPr>
        <w:pStyle w:val="2"/>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1.对国家、省、市等上级单位明确了扶持标准的，按照上级单位明确的标准给予扶持。</w:t>
      </w:r>
    </w:p>
    <w:p>
      <w:pPr>
        <w:pStyle w:val="2"/>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国家、省、市等上级单位没有明确扶持标准的，对已获得市级扶持的企业，如市级扶持未超过实际发生展位费的50%，按1:1比例配套扶持；如市级扶持超过实际发生的展位费的50%，按企业实际发生费用与市级扶持的差额给予扶持；对未获得市级扶持的企业，按企业实际发生展位费的60%给予扶持。单个企业每个展会扶持额最高不超过5万元，单个企业每年申报项目不得超过6个、扶持总额最高不超过30万元。</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（三）审核方式：核准制。</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上述重点展会目录将于</w:t>
      </w:r>
      <w:r>
        <w:rPr>
          <w:rFonts w:ascii="仿宋_GB2312" w:hAnsi="仿宋_GB2312" w:eastAsia="仿宋_GB2312" w:cs="仿宋_GB2312"/>
          <w:sz w:val="32"/>
          <w:szCs w:val="32"/>
        </w:rPr>
        <w:t>2021年起由区工业和信息化局根据实际情况每年年初编制并发布，详情请登录区工业和信息化局网站查询。</w:t>
      </w:r>
    </w:p>
    <w:p>
      <w:pPr>
        <w:pStyle w:val="9"/>
        <w:shd w:val="clear" w:color="auto" w:fill="FFFFFF"/>
        <w:adjustRightInd w:val="0"/>
        <w:snapToGrid w:val="0"/>
        <w:spacing w:before="0" w:beforeAutospacing="0" w:after="0" w:afterAutospacing="0" w:line="560" w:lineRule="exact"/>
        <w:jc w:val="center"/>
        <w:rPr>
          <w:rFonts w:ascii="黑体" w:hAnsi="黑体" w:eastAsia="黑体" w:cs="黑体"/>
          <w:color w:val="auto"/>
          <w:sz w:val="32"/>
          <w:szCs w:val="32"/>
        </w:rPr>
      </w:pPr>
    </w:p>
    <w:p>
      <w:pPr>
        <w:pStyle w:val="9"/>
        <w:shd w:val="clear" w:color="auto" w:fill="FFFFFF"/>
        <w:adjustRightInd w:val="0"/>
        <w:snapToGrid w:val="0"/>
        <w:spacing w:before="0" w:beforeAutospacing="0" w:after="0" w:afterAutospacing="0" w:line="560" w:lineRule="exact"/>
        <w:jc w:val="center"/>
        <w:rPr>
          <w:rFonts w:ascii="黑体" w:hAnsi="黑体" w:eastAsia="黑体" w:cs="黑体"/>
          <w:color w:val="auto"/>
          <w:sz w:val="32"/>
          <w:szCs w:val="32"/>
        </w:rPr>
      </w:pPr>
      <w:r>
        <w:rPr>
          <w:rFonts w:hint="eastAsia" w:ascii="黑体" w:hAnsi="黑体" w:eastAsia="黑体" w:cs="黑体"/>
          <w:color w:val="auto"/>
          <w:sz w:val="32"/>
          <w:szCs w:val="32"/>
        </w:rPr>
        <w:t>第三章</w:t>
      </w:r>
      <w:r>
        <w:rPr>
          <w:rFonts w:ascii="黑体" w:hAnsi="黑体" w:eastAsia="黑体" w:cs="黑体"/>
          <w:color w:val="auto"/>
          <w:sz w:val="32"/>
          <w:szCs w:val="32"/>
        </w:rPr>
        <w:t xml:space="preserve"> </w:t>
      </w:r>
      <w:r>
        <w:rPr>
          <w:rFonts w:hint="eastAsia" w:ascii="黑体" w:hAnsi="黑体" w:eastAsia="黑体" w:cs="黑体"/>
          <w:color w:val="auto"/>
          <w:sz w:val="32"/>
          <w:szCs w:val="32"/>
        </w:rPr>
        <w:t>申报条件</w:t>
      </w:r>
    </w:p>
    <w:p>
      <w:pPr>
        <w:pStyle w:val="9"/>
        <w:shd w:val="clear" w:color="auto" w:fill="FFFFFF"/>
        <w:adjustRightInd w:val="0"/>
        <w:snapToGrid w:val="0"/>
        <w:spacing w:before="0" w:beforeAutospacing="0" w:after="0" w:afterAutospacing="0" w:line="560" w:lineRule="exact"/>
        <w:ind w:firstLine="641"/>
        <w:rPr>
          <w:rFonts w:ascii="仿宋_GB2312" w:hAnsi="Arial" w:eastAsia="仿宋_GB2312" w:cs="Arial"/>
          <w:color w:val="auto"/>
          <w:sz w:val="32"/>
          <w:szCs w:val="32"/>
        </w:rPr>
      </w:pPr>
      <w:r>
        <w:rPr>
          <w:rFonts w:hint="eastAsia" w:ascii="仿宋_GB2312" w:hAnsi="仿宋" w:eastAsia="仿宋_GB2312" w:cs="Arial"/>
          <w:b/>
          <w:bCs/>
          <w:color w:val="auto"/>
          <w:sz w:val="32"/>
          <w:szCs w:val="32"/>
        </w:rPr>
        <w:t>第</w:t>
      </w:r>
      <w:r>
        <w:rPr>
          <w:rFonts w:hint="eastAsia" w:ascii="仿宋_GB2312" w:hAnsi="Arial" w:eastAsia="仿宋_GB2312" w:cs="Arial"/>
          <w:b/>
          <w:bCs/>
          <w:color w:val="auto"/>
          <w:sz w:val="32"/>
          <w:szCs w:val="32"/>
        </w:rPr>
        <w:t>十五</w:t>
      </w:r>
      <w:r>
        <w:rPr>
          <w:rFonts w:hint="eastAsia" w:ascii="仿宋_GB2312" w:hAnsi="仿宋" w:eastAsia="仿宋_GB2312" w:cs="Arial"/>
          <w:b/>
          <w:bCs/>
          <w:color w:val="auto"/>
          <w:sz w:val="32"/>
          <w:szCs w:val="32"/>
        </w:rPr>
        <w:t>条</w:t>
      </w:r>
      <w:r>
        <w:rPr>
          <w:rFonts w:hint="eastAsia" w:ascii="仿宋_GB2312" w:hAnsi="Arial" w:eastAsia="仿宋_GB2312" w:cs="Arial"/>
          <w:color w:val="auto"/>
          <w:sz w:val="32"/>
          <w:szCs w:val="32"/>
        </w:rPr>
        <w:t xml:space="preserve"> 申报条件由基础申报条件和专项申报条件两部分组成。项目单位需符合下列基础条件：</w:t>
      </w:r>
    </w:p>
    <w:p>
      <w:pPr>
        <w:pStyle w:val="9"/>
        <w:adjustRightInd w:val="0"/>
        <w:snapToGrid w:val="0"/>
        <w:spacing w:before="0" w:beforeAutospacing="0" w:after="0" w:afterAutospacing="0" w:line="560" w:lineRule="exact"/>
        <w:ind w:firstLine="641"/>
        <w:rPr>
          <w:rFonts w:ascii="仿宋_GB2312" w:hAnsi="Arial" w:eastAsia="仿宋_GB2312" w:cs="Arial"/>
          <w:color w:val="auto"/>
          <w:sz w:val="32"/>
          <w:szCs w:val="32"/>
        </w:rPr>
      </w:pPr>
      <w:r>
        <w:rPr>
          <w:rFonts w:hint="eastAsia" w:ascii="仿宋_GB2312" w:hAnsi="Arial" w:eastAsia="仿宋_GB2312" w:cs="Arial"/>
          <w:color w:val="auto"/>
          <w:sz w:val="32"/>
          <w:szCs w:val="32"/>
        </w:rPr>
        <w:t>（一）项目单位是在</w:t>
      </w:r>
      <w:r>
        <w:rPr>
          <w:rFonts w:hint="eastAsia" w:ascii="仿宋_GB2312" w:hAnsi="仿宋_GB2312" w:eastAsia="仿宋_GB2312" w:cs="华文仿宋"/>
          <w:color w:val="auto"/>
          <w:sz w:val="32"/>
          <w:szCs w:val="32"/>
        </w:rPr>
        <w:t>龙岗区行政区域内依法登记注册、具有独立法人资格且符合要求的</w:t>
      </w:r>
      <w:r>
        <w:rPr>
          <w:rFonts w:hint="eastAsia" w:ascii="仿宋_GB2312" w:hAnsi="仿宋_GB2312" w:eastAsia="仿宋_GB2312"/>
          <w:color w:val="auto"/>
          <w:sz w:val="32"/>
          <w:szCs w:val="32"/>
        </w:rPr>
        <w:t>法人企业或民办非企业单位，其中，对于法人企业要求统计地在龙岗区</w:t>
      </w:r>
      <w:r>
        <w:rPr>
          <w:rFonts w:hint="eastAsia" w:ascii="仿宋_GB2312" w:hAnsi="Arial" w:eastAsia="仿宋_GB2312" w:cs="Arial"/>
          <w:color w:val="auto"/>
          <w:sz w:val="32"/>
          <w:szCs w:val="32"/>
        </w:rPr>
        <w:t>；</w:t>
      </w:r>
    </w:p>
    <w:p>
      <w:pPr>
        <w:pStyle w:val="9"/>
        <w:adjustRightInd w:val="0"/>
        <w:snapToGrid w:val="0"/>
        <w:spacing w:before="0" w:beforeAutospacing="0" w:after="0" w:afterAutospacing="0" w:line="560" w:lineRule="exact"/>
        <w:ind w:firstLine="641"/>
        <w:rPr>
          <w:rFonts w:ascii="仿宋_GB2312" w:hAnsi="Arial" w:eastAsia="仿宋_GB2312" w:cs="Arial"/>
          <w:color w:val="auto"/>
          <w:sz w:val="32"/>
          <w:szCs w:val="32"/>
        </w:rPr>
      </w:pPr>
      <w:r>
        <w:rPr>
          <w:rFonts w:hint="eastAsia" w:ascii="仿宋_GB2312" w:hAnsi="Arial" w:eastAsia="仿宋_GB2312" w:cs="Arial"/>
          <w:color w:val="auto"/>
          <w:sz w:val="32"/>
          <w:szCs w:val="32"/>
        </w:rPr>
        <w:t>（二）</w:t>
      </w:r>
      <w:r>
        <w:rPr>
          <w:rFonts w:hint="eastAsia" w:ascii="仿宋_GB2312" w:hAnsi="仿宋_GB2312" w:eastAsia="仿宋_GB2312" w:cs="华文仿宋"/>
          <w:color w:val="auto"/>
          <w:sz w:val="32"/>
          <w:szCs w:val="32"/>
        </w:rPr>
        <w:t>项目单位未被列入严重失信主体名单且在有效期内；</w:t>
      </w:r>
    </w:p>
    <w:p>
      <w:pPr>
        <w:pStyle w:val="9"/>
        <w:adjustRightInd w:val="0"/>
        <w:snapToGrid w:val="0"/>
        <w:spacing w:before="0" w:beforeAutospacing="0" w:after="0" w:afterAutospacing="0" w:line="560" w:lineRule="exact"/>
        <w:ind w:firstLine="641"/>
        <w:rPr>
          <w:rFonts w:ascii="仿宋_GB2312" w:hAnsi="Arial" w:eastAsia="仿宋_GB2312" w:cs="Arial"/>
          <w:color w:val="auto"/>
          <w:sz w:val="32"/>
          <w:szCs w:val="32"/>
        </w:rPr>
      </w:pPr>
      <w:r>
        <w:rPr>
          <w:rFonts w:hint="eastAsia" w:ascii="仿宋_GB2312" w:hAnsi="Arial" w:eastAsia="仿宋_GB2312" w:cs="Arial"/>
          <w:color w:val="auto"/>
          <w:sz w:val="32"/>
          <w:szCs w:val="32"/>
        </w:rPr>
        <w:t>（三）项目单位对申报材料的真实性、合法性和完整性负责，不得弄虚作假、套取、骗取专项资金；</w:t>
      </w:r>
    </w:p>
    <w:p>
      <w:pPr>
        <w:pStyle w:val="9"/>
        <w:adjustRightInd w:val="0"/>
        <w:snapToGrid w:val="0"/>
        <w:spacing w:before="0" w:beforeAutospacing="0" w:after="0" w:afterAutospacing="0" w:line="560" w:lineRule="exact"/>
        <w:ind w:firstLine="641"/>
        <w:rPr>
          <w:rFonts w:ascii="仿宋_GB2312" w:hAnsi="Arial" w:eastAsia="仿宋_GB2312" w:cs="Arial"/>
          <w:color w:val="auto"/>
          <w:sz w:val="32"/>
          <w:szCs w:val="32"/>
        </w:rPr>
      </w:pPr>
      <w:r>
        <w:rPr>
          <w:rFonts w:hint="eastAsia" w:ascii="仿宋_GB2312" w:hAnsi="Arial" w:eastAsia="仿宋_GB2312" w:cs="Arial"/>
          <w:color w:val="auto"/>
          <w:sz w:val="32"/>
          <w:szCs w:val="32"/>
        </w:rPr>
        <w:t>（四）项目单位提交的有关生产经营数据，如与区统计部门不一致的，以区统计部门数据为准；</w:t>
      </w:r>
    </w:p>
    <w:p>
      <w:pPr>
        <w:pStyle w:val="9"/>
        <w:adjustRightInd w:val="0"/>
        <w:snapToGrid w:val="0"/>
        <w:spacing w:before="0" w:beforeAutospacing="0" w:after="0" w:afterAutospacing="0" w:line="560" w:lineRule="exact"/>
        <w:ind w:firstLine="641"/>
        <w:rPr>
          <w:rFonts w:ascii="仿宋_GB2312" w:hAnsi="Arial" w:eastAsia="仿宋_GB2312" w:cs="Arial"/>
          <w:color w:val="auto"/>
          <w:sz w:val="32"/>
          <w:szCs w:val="32"/>
        </w:rPr>
      </w:pPr>
      <w:r>
        <w:rPr>
          <w:rFonts w:hint="eastAsia" w:ascii="仿宋_GB2312" w:hAnsi="Arial" w:eastAsia="仿宋_GB2312" w:cs="Arial"/>
          <w:color w:val="auto"/>
          <w:sz w:val="32"/>
          <w:szCs w:val="32"/>
        </w:rPr>
        <w:t>（五）项目单位不得以同一事项重复申报或者多头申报区级专项资金，同一项目因政策允许可申报多项专项资金的，应当在申报材料中予以明确；</w:t>
      </w:r>
    </w:p>
    <w:p>
      <w:pPr>
        <w:pStyle w:val="9"/>
        <w:adjustRightInd w:val="0"/>
        <w:snapToGrid w:val="0"/>
        <w:spacing w:before="0" w:beforeAutospacing="0" w:after="0" w:afterAutospacing="0" w:line="560" w:lineRule="exact"/>
        <w:ind w:firstLine="640"/>
        <w:rPr>
          <w:rFonts w:ascii="仿宋_GB2312" w:hAnsi="Arial" w:eastAsia="仿宋_GB2312" w:cs="Arial"/>
          <w:color w:val="auto"/>
          <w:sz w:val="32"/>
          <w:szCs w:val="32"/>
        </w:rPr>
      </w:pPr>
      <w:r>
        <w:rPr>
          <w:rFonts w:hint="eastAsia" w:ascii="仿宋_GB2312" w:hAnsi="Arial" w:eastAsia="仿宋_GB2312" w:cs="Arial"/>
          <w:color w:val="auto"/>
          <w:sz w:val="32"/>
          <w:szCs w:val="32"/>
        </w:rPr>
        <w:t>（六）法律、法规、规章和上级行政机关规范性文件规定的其他条件。</w:t>
      </w:r>
    </w:p>
    <w:p>
      <w:pPr>
        <w:pStyle w:val="9"/>
        <w:shd w:val="clear" w:color="auto" w:fill="FFFFFF"/>
        <w:adjustRightInd w:val="0"/>
        <w:snapToGrid w:val="0"/>
        <w:spacing w:before="0" w:beforeAutospacing="0" w:after="0" w:afterAutospacing="0" w:line="560" w:lineRule="exact"/>
        <w:ind w:firstLine="640"/>
        <w:rPr>
          <w:rFonts w:ascii="仿宋_GB2312" w:hAnsi="仿宋" w:eastAsia="仿宋_GB2312" w:cs="Arial"/>
          <w:color w:val="auto"/>
          <w:sz w:val="32"/>
          <w:szCs w:val="32"/>
        </w:rPr>
      </w:pPr>
      <w:r>
        <w:rPr>
          <w:rFonts w:hint="eastAsia" w:ascii="仿宋_GB2312" w:hAnsi="仿宋" w:eastAsia="仿宋_GB2312" w:cs="Arial"/>
          <w:b/>
          <w:bCs/>
          <w:color w:val="auto"/>
          <w:sz w:val="32"/>
          <w:szCs w:val="32"/>
        </w:rPr>
        <w:t>第</w:t>
      </w:r>
      <w:r>
        <w:rPr>
          <w:rFonts w:ascii="仿宋_GB2312" w:hAnsi="仿宋" w:eastAsia="仿宋_GB2312" w:cs="Arial"/>
          <w:b/>
          <w:bCs/>
          <w:color w:val="auto"/>
          <w:sz w:val="32"/>
          <w:szCs w:val="32"/>
        </w:rPr>
        <w:t>十六</w:t>
      </w:r>
      <w:r>
        <w:rPr>
          <w:rFonts w:hint="eastAsia" w:ascii="仿宋_GB2312" w:hAnsi="仿宋" w:eastAsia="仿宋_GB2312" w:cs="Arial"/>
          <w:b/>
          <w:bCs/>
          <w:color w:val="auto"/>
          <w:sz w:val="32"/>
          <w:szCs w:val="32"/>
        </w:rPr>
        <w:t>条</w:t>
      </w:r>
      <w:r>
        <w:rPr>
          <w:rFonts w:ascii="仿宋_GB2312" w:hAnsi="仿宋" w:eastAsia="仿宋_GB2312" w:cs="Arial"/>
          <w:color w:val="auto"/>
          <w:sz w:val="32"/>
          <w:szCs w:val="32"/>
        </w:rPr>
        <w:t xml:space="preserve"> 项目单位申报具体项目，还应符合以下专项申报条件和区工业和信息化局依据本实施细则制定的申请指南的相关条件：</w:t>
      </w:r>
    </w:p>
    <w:p>
      <w:pPr>
        <w:pStyle w:val="9"/>
        <w:shd w:val="clear" w:color="auto" w:fill="FFFFFF"/>
        <w:snapToGrid w:val="0"/>
        <w:spacing w:before="0" w:beforeAutospacing="0" w:after="0" w:afterAutospacing="0" w:line="560" w:lineRule="exact"/>
        <w:ind w:left="640"/>
        <w:textAlignment w:val="baseline"/>
        <w:rPr>
          <w:rFonts w:ascii="仿宋_GB2312" w:hAnsi="Arial" w:eastAsia="仿宋_GB2312" w:cs="Arial"/>
          <w:b/>
          <w:bCs/>
          <w:color w:val="auto"/>
          <w:sz w:val="32"/>
          <w:szCs w:val="32"/>
        </w:rPr>
      </w:pPr>
      <w:r>
        <w:rPr>
          <w:rFonts w:hint="eastAsia" w:ascii="仿宋_GB2312" w:hAnsi="仿宋" w:eastAsia="仿宋_GB2312" w:cs="Arial"/>
          <w:b/>
          <w:bCs/>
          <w:color w:val="auto"/>
          <w:sz w:val="32"/>
          <w:szCs w:val="32"/>
        </w:rPr>
        <w:t>（一）</w:t>
      </w:r>
      <w:r>
        <w:rPr>
          <w:rFonts w:ascii="仿宋_GB2312" w:hAnsi="仿宋" w:eastAsia="仿宋_GB2312" w:cs="Arial"/>
          <w:b/>
          <w:bCs/>
          <w:color w:val="auto"/>
          <w:sz w:val="32"/>
          <w:szCs w:val="32"/>
        </w:rPr>
        <w:t>新纳统</w:t>
      </w:r>
      <w:r>
        <w:rPr>
          <w:rFonts w:hint="eastAsia" w:ascii="仿宋_GB2312" w:hAnsi="Arial" w:eastAsia="仿宋_GB2312" w:cs="Arial"/>
          <w:b/>
          <w:bCs/>
          <w:color w:val="auto"/>
          <w:sz w:val="32"/>
          <w:szCs w:val="32"/>
        </w:rPr>
        <w:t>扶持项目</w:t>
      </w:r>
    </w:p>
    <w:p>
      <w:pPr>
        <w:snapToGrid w:val="0"/>
        <w:spacing w:line="560" w:lineRule="exact"/>
        <w:ind w:firstLine="640" w:firstLineChars="200"/>
        <w:textAlignment w:val="baseline"/>
        <w:rPr>
          <w:rFonts w:ascii="仿宋_GB2312" w:hAnsi="Arial" w:eastAsia="仿宋_GB2312" w:cs="Arial"/>
          <w:sz w:val="32"/>
          <w:szCs w:val="32"/>
        </w:rPr>
      </w:pPr>
      <w:r>
        <w:rPr>
          <w:rFonts w:hint="eastAsia" w:ascii="仿宋_GB2312" w:hAnsi="Arial" w:eastAsia="仿宋_GB2312" w:cs="Arial"/>
          <w:sz w:val="32"/>
          <w:szCs w:val="32"/>
        </w:rPr>
        <w:t>1.申报企业的注册地和统计地均在龙岗区。</w:t>
      </w:r>
    </w:p>
    <w:p>
      <w:pPr>
        <w:snapToGrid w:val="0"/>
        <w:spacing w:line="560" w:lineRule="exact"/>
        <w:ind w:firstLine="640" w:firstLineChars="200"/>
        <w:textAlignment w:val="baseline"/>
        <w:rPr>
          <w:rFonts w:ascii="仿宋_GB2312" w:hAnsi="Arial" w:eastAsia="仿宋_GB2312" w:cs="Arial"/>
          <w:sz w:val="32"/>
          <w:szCs w:val="32"/>
        </w:rPr>
      </w:pPr>
      <w:r>
        <w:rPr>
          <w:rFonts w:ascii="仿宋_GB2312" w:hAnsi="Arial" w:eastAsia="仿宋_GB2312" w:cs="Arial"/>
          <w:sz w:val="32"/>
          <w:szCs w:val="32"/>
        </w:rPr>
        <w:t>2</w:t>
      </w:r>
      <w:r>
        <w:rPr>
          <w:rFonts w:hint="eastAsia" w:ascii="仿宋_GB2312" w:hAnsi="Arial" w:eastAsia="仿宋_GB2312" w:cs="Arial"/>
          <w:sz w:val="32"/>
          <w:szCs w:val="32"/>
        </w:rPr>
        <w:t>.在区外其他地区</w:t>
      </w:r>
      <w:r>
        <w:rPr>
          <w:rFonts w:ascii="仿宋_GB2312" w:hAnsi="Arial" w:eastAsia="仿宋_GB2312" w:cs="Arial"/>
          <w:sz w:val="32"/>
          <w:szCs w:val="32"/>
        </w:rPr>
        <w:t>“</w:t>
      </w:r>
      <w:r>
        <w:rPr>
          <w:rFonts w:hint="eastAsia" w:ascii="仿宋_GB2312" w:hAnsi="Arial" w:eastAsia="仿宋_GB2312" w:cs="Arial"/>
          <w:sz w:val="32"/>
          <w:szCs w:val="32"/>
        </w:rPr>
        <w:t>新纳统</w:t>
      </w:r>
      <w:r>
        <w:rPr>
          <w:rFonts w:ascii="仿宋_GB2312" w:hAnsi="Arial" w:eastAsia="仿宋_GB2312" w:cs="Arial"/>
          <w:sz w:val="32"/>
          <w:szCs w:val="32"/>
        </w:rPr>
        <w:t>”</w:t>
      </w:r>
      <w:r>
        <w:rPr>
          <w:rFonts w:hint="eastAsia" w:ascii="仿宋_GB2312" w:hAnsi="Arial" w:eastAsia="仿宋_GB2312" w:cs="Arial"/>
          <w:sz w:val="32"/>
          <w:szCs w:val="32"/>
        </w:rPr>
        <w:t>的企业，在“新纳统”后才将注册地或统计地迁入龙岗区的，则不能申报本扶持，可在下一年度视发展情况申报其他项目的扶持。</w:t>
      </w:r>
    </w:p>
    <w:p>
      <w:pPr>
        <w:pStyle w:val="9"/>
        <w:shd w:val="clear" w:color="auto" w:fill="FFFFFF"/>
        <w:snapToGrid w:val="0"/>
        <w:spacing w:before="0" w:beforeAutospacing="0" w:after="0" w:afterAutospacing="0" w:line="560" w:lineRule="exact"/>
        <w:ind w:firstLine="640" w:firstLineChars="200"/>
        <w:textAlignment w:val="baseline"/>
        <w:rPr>
          <w:rFonts w:ascii="仿宋_GB2312" w:hAnsi="Arial" w:eastAsia="仿宋_GB2312" w:cs="Arial"/>
          <w:color w:val="auto"/>
          <w:sz w:val="32"/>
          <w:szCs w:val="32"/>
        </w:rPr>
      </w:pPr>
      <w:r>
        <w:rPr>
          <w:rFonts w:ascii="仿宋_GB2312" w:hAnsi="Arial" w:eastAsia="仿宋_GB2312" w:cs="Arial"/>
          <w:color w:val="auto"/>
          <w:sz w:val="32"/>
          <w:szCs w:val="32"/>
        </w:rPr>
        <w:t>3</w:t>
      </w:r>
      <w:r>
        <w:rPr>
          <w:rFonts w:hint="eastAsia" w:ascii="仿宋_GB2312" w:hAnsi="Arial" w:eastAsia="仿宋_GB2312" w:cs="Arial"/>
          <w:color w:val="auto"/>
          <w:sz w:val="32"/>
          <w:szCs w:val="32"/>
        </w:rPr>
        <w:t>.本扶持为核准制，以区统计部门的正式数据为准。</w:t>
      </w:r>
    </w:p>
    <w:p>
      <w:pPr>
        <w:pStyle w:val="9"/>
        <w:shd w:val="clear" w:color="auto" w:fill="FFFFFF"/>
        <w:snapToGrid w:val="0"/>
        <w:spacing w:before="0" w:beforeAutospacing="0" w:after="0" w:afterAutospacing="0" w:line="560" w:lineRule="exact"/>
        <w:ind w:firstLine="640" w:firstLineChars="200"/>
        <w:textAlignment w:val="baseline"/>
        <w:rPr>
          <w:rFonts w:ascii="仿宋_GB2312" w:hAnsi="Arial" w:eastAsia="仿宋_GB2312" w:cs="Arial"/>
          <w:color w:val="auto"/>
          <w:sz w:val="32"/>
          <w:szCs w:val="32"/>
        </w:rPr>
      </w:pPr>
      <w:r>
        <w:rPr>
          <w:rFonts w:ascii="仿宋_GB2312" w:hAnsi="Arial" w:eastAsia="仿宋_GB2312" w:cs="Arial"/>
          <w:color w:val="auto"/>
          <w:sz w:val="32"/>
          <w:szCs w:val="32"/>
        </w:rPr>
        <w:t>4</w:t>
      </w:r>
      <w:r>
        <w:rPr>
          <w:rFonts w:hint="eastAsia" w:ascii="仿宋_GB2312" w:hAnsi="Arial" w:eastAsia="仿宋_GB2312" w:cs="Arial"/>
          <w:color w:val="auto"/>
          <w:sz w:val="32"/>
          <w:szCs w:val="32"/>
        </w:rPr>
        <w:t>.曾获得龙岗区其他类型“新纳统”奖励的企业，不得再申请本项目扶持。</w:t>
      </w:r>
    </w:p>
    <w:p>
      <w:pPr>
        <w:pStyle w:val="9"/>
        <w:shd w:val="clear" w:color="auto" w:fill="FFFFFF"/>
        <w:snapToGrid w:val="0"/>
        <w:spacing w:before="0" w:beforeAutospacing="0" w:after="0" w:afterAutospacing="0" w:line="560" w:lineRule="exact"/>
        <w:ind w:left="640"/>
        <w:textAlignment w:val="baseline"/>
        <w:rPr>
          <w:rFonts w:ascii="仿宋_GB2312" w:hAnsi="Arial" w:eastAsia="仿宋_GB2312" w:cs="Arial"/>
          <w:b/>
          <w:bCs/>
          <w:color w:val="auto"/>
          <w:sz w:val="32"/>
          <w:szCs w:val="32"/>
        </w:rPr>
      </w:pPr>
      <w:r>
        <w:rPr>
          <w:rFonts w:hint="eastAsia" w:ascii="仿宋_GB2312" w:hAnsi="仿宋" w:eastAsia="仿宋_GB2312" w:cs="Arial"/>
          <w:b/>
          <w:bCs/>
          <w:color w:val="auto"/>
          <w:sz w:val="32"/>
          <w:szCs w:val="32"/>
        </w:rPr>
        <w:t>（二）</w:t>
      </w:r>
      <w:r>
        <w:rPr>
          <w:rFonts w:hint="eastAsia" w:ascii="仿宋_GB2312" w:hAnsi="Arial" w:eastAsia="仿宋_GB2312" w:cs="Arial"/>
          <w:b/>
          <w:bCs/>
          <w:color w:val="auto"/>
          <w:sz w:val="32"/>
          <w:szCs w:val="32"/>
        </w:rPr>
        <w:t>引进“零售龙头企业”扶持项目</w:t>
      </w:r>
    </w:p>
    <w:p>
      <w:pPr>
        <w:snapToGrid w:val="0"/>
        <w:spacing w:line="560" w:lineRule="exact"/>
        <w:ind w:firstLine="640" w:firstLineChars="200"/>
        <w:textAlignment w:val="baseline"/>
        <w:rPr>
          <w:rFonts w:ascii="仿宋_GB2312" w:hAnsi="Arial" w:eastAsia="仿宋_GB2312" w:cs="Arial"/>
          <w:sz w:val="32"/>
          <w:szCs w:val="32"/>
        </w:rPr>
      </w:pPr>
      <w:r>
        <w:rPr>
          <w:rFonts w:hint="eastAsia" w:ascii="仿宋_GB2312" w:hAnsi="Arial" w:eastAsia="仿宋_GB2312" w:cs="Arial"/>
          <w:sz w:val="32"/>
          <w:szCs w:val="32"/>
        </w:rPr>
        <w:t>1.申报企业的注册地和统计地均在龙岗区。</w:t>
      </w:r>
    </w:p>
    <w:p>
      <w:pPr>
        <w:snapToGrid w:val="0"/>
        <w:spacing w:line="560" w:lineRule="exact"/>
        <w:ind w:firstLine="640" w:firstLineChars="200"/>
        <w:textAlignment w:val="baseline"/>
        <w:rPr>
          <w:rFonts w:ascii="仿宋_GB2312" w:hAnsi="Arial" w:eastAsia="仿宋_GB2312" w:cs="Arial"/>
          <w:sz w:val="32"/>
          <w:szCs w:val="32"/>
        </w:rPr>
      </w:pPr>
      <w:r>
        <w:rPr>
          <w:rFonts w:ascii="仿宋_GB2312" w:hAnsi="Arial" w:eastAsia="仿宋_GB2312" w:cs="Arial"/>
          <w:sz w:val="32"/>
          <w:szCs w:val="32"/>
        </w:rPr>
        <w:t>2.</w:t>
      </w:r>
      <w:r>
        <w:rPr>
          <w:rFonts w:hint="eastAsia" w:ascii="仿宋_GB2312" w:hAnsi="Arial" w:eastAsia="仿宋_GB2312" w:cs="Arial"/>
          <w:sz w:val="32"/>
          <w:szCs w:val="32"/>
        </w:rPr>
        <w:t>“自迁入龙岗区三年内”指该企业被首次纳入龙岗区限额以上商业企业统计数据库三年内，在自然年任一时间“新纳统”均算作一年。</w:t>
      </w:r>
    </w:p>
    <w:p>
      <w:pPr>
        <w:pStyle w:val="9"/>
        <w:shd w:val="clear" w:color="auto" w:fill="FFFFFF"/>
        <w:snapToGrid w:val="0"/>
        <w:spacing w:before="0" w:beforeAutospacing="0" w:after="0" w:afterAutospacing="0" w:line="560" w:lineRule="exact"/>
        <w:ind w:firstLine="640" w:firstLineChars="200"/>
        <w:textAlignment w:val="baseline"/>
        <w:rPr>
          <w:rFonts w:ascii="仿宋_GB2312" w:hAnsi="Arial" w:eastAsia="仿宋_GB2312" w:cs="Arial"/>
          <w:color w:val="auto"/>
          <w:sz w:val="32"/>
          <w:szCs w:val="32"/>
        </w:rPr>
      </w:pPr>
      <w:r>
        <w:rPr>
          <w:rFonts w:ascii="仿宋_GB2312" w:hAnsi="Arial" w:eastAsia="仿宋_GB2312" w:cs="Arial"/>
          <w:color w:val="auto"/>
          <w:sz w:val="32"/>
          <w:szCs w:val="32"/>
        </w:rPr>
        <w:t>3</w:t>
      </w:r>
      <w:r>
        <w:rPr>
          <w:rFonts w:hint="eastAsia" w:ascii="仿宋_GB2312" w:hAnsi="Arial" w:eastAsia="仿宋_GB2312" w:cs="Arial"/>
          <w:color w:val="auto"/>
          <w:sz w:val="32"/>
          <w:szCs w:val="32"/>
        </w:rPr>
        <w:t>.本扶持为核准制，以区统计部门查证数据及第三方机构专项审计结果为准。</w:t>
      </w:r>
    </w:p>
    <w:p>
      <w:pPr>
        <w:pStyle w:val="9"/>
        <w:shd w:val="clear" w:color="auto" w:fill="FFFFFF"/>
        <w:snapToGrid w:val="0"/>
        <w:spacing w:before="0" w:beforeAutospacing="0" w:after="0" w:afterAutospacing="0" w:line="560" w:lineRule="exact"/>
        <w:ind w:firstLine="640" w:firstLineChars="200"/>
        <w:textAlignment w:val="baseline"/>
        <w:rPr>
          <w:rFonts w:ascii="仿宋_GB2312" w:hAnsi="Arial" w:eastAsia="仿宋_GB2312" w:cs="Arial"/>
          <w:color w:val="auto"/>
          <w:sz w:val="32"/>
          <w:szCs w:val="32"/>
        </w:rPr>
      </w:pPr>
      <w:r>
        <w:rPr>
          <w:rFonts w:ascii="仿宋_GB2312" w:hAnsi="Arial" w:eastAsia="仿宋_GB2312" w:cs="Arial"/>
          <w:color w:val="auto"/>
          <w:sz w:val="32"/>
          <w:szCs w:val="32"/>
        </w:rPr>
        <w:t>4.</w:t>
      </w:r>
      <w:r>
        <w:rPr>
          <w:rFonts w:hint="eastAsia" w:ascii="仿宋_GB2312" w:hAnsi="Arial" w:eastAsia="仿宋_GB2312" w:cs="Arial"/>
          <w:color w:val="auto"/>
          <w:sz w:val="32"/>
          <w:szCs w:val="32"/>
        </w:rPr>
        <w:t>获本扶持项目奖励的企业不重复享受总部企业落户和鼓励企业做大做强扶持项目有关奖励。</w:t>
      </w:r>
    </w:p>
    <w:p>
      <w:pPr>
        <w:pStyle w:val="9"/>
        <w:shd w:val="clear" w:color="auto" w:fill="FFFFFF"/>
        <w:snapToGrid w:val="0"/>
        <w:spacing w:before="0" w:beforeAutospacing="0" w:after="0" w:afterAutospacing="0" w:line="560" w:lineRule="exact"/>
        <w:ind w:left="640"/>
        <w:textAlignment w:val="baseline"/>
        <w:rPr>
          <w:rFonts w:ascii="仿宋_GB2312" w:hAnsi="Arial" w:eastAsia="仿宋_GB2312" w:cs="Arial"/>
          <w:b/>
          <w:bCs/>
          <w:color w:val="auto"/>
          <w:sz w:val="32"/>
          <w:szCs w:val="32"/>
        </w:rPr>
      </w:pPr>
      <w:r>
        <w:rPr>
          <w:rFonts w:hint="eastAsia" w:ascii="仿宋_GB2312" w:hAnsi="仿宋" w:eastAsia="仿宋_GB2312" w:cs="Arial"/>
          <w:b/>
          <w:bCs/>
          <w:color w:val="auto"/>
          <w:sz w:val="32"/>
          <w:szCs w:val="32"/>
        </w:rPr>
        <w:t>（三）</w:t>
      </w:r>
      <w:r>
        <w:rPr>
          <w:rFonts w:hint="eastAsia" w:ascii="仿宋_GB2312" w:hAnsi="Arial" w:eastAsia="仿宋_GB2312" w:cs="Arial"/>
          <w:b/>
          <w:bCs/>
          <w:color w:val="auto"/>
          <w:sz w:val="32"/>
          <w:szCs w:val="32"/>
        </w:rPr>
        <w:t>鼓励企业做大做强扶持项目</w:t>
      </w:r>
    </w:p>
    <w:p>
      <w:pPr>
        <w:snapToGrid w:val="0"/>
        <w:spacing w:line="560" w:lineRule="exact"/>
        <w:ind w:firstLine="640" w:firstLineChars="200"/>
        <w:textAlignment w:val="baseline"/>
        <w:rPr>
          <w:rFonts w:ascii="仿宋_GB2312" w:hAnsi="Arial" w:eastAsia="仿宋_GB2312" w:cs="Arial"/>
          <w:sz w:val="32"/>
          <w:szCs w:val="32"/>
        </w:rPr>
      </w:pPr>
      <w:r>
        <w:rPr>
          <w:rFonts w:hint="eastAsia" w:ascii="仿宋_GB2312" w:hAnsi="Arial" w:eastAsia="仿宋_GB2312" w:cs="Arial"/>
          <w:sz w:val="32"/>
          <w:szCs w:val="32"/>
        </w:rPr>
        <w:t>1.申报企业的注册地和统计地均在龙岗区。</w:t>
      </w:r>
    </w:p>
    <w:p>
      <w:pPr>
        <w:snapToGrid w:val="0"/>
        <w:spacing w:line="560" w:lineRule="exact"/>
        <w:ind w:firstLine="640" w:firstLineChars="200"/>
        <w:textAlignment w:val="baseline"/>
        <w:rPr>
          <w:rFonts w:ascii="仿宋_GB2312" w:hAnsi="Arial" w:eastAsia="仿宋_GB2312" w:cs="Arial"/>
          <w:sz w:val="32"/>
          <w:szCs w:val="32"/>
        </w:rPr>
      </w:pPr>
      <w:r>
        <w:rPr>
          <w:rFonts w:hint="eastAsia" w:ascii="仿宋_GB2312" w:hAnsi="Arial" w:eastAsia="仿宋_GB2312" w:cs="Arial"/>
          <w:sz w:val="32"/>
          <w:szCs w:val="32"/>
        </w:rPr>
        <w:t>2.本扶持为核准制，销售额（营业额）数据以区统计部门查证数据及第三方机构专项审计结果为准。</w:t>
      </w:r>
    </w:p>
    <w:p>
      <w:pPr>
        <w:snapToGrid w:val="0"/>
        <w:spacing w:line="560" w:lineRule="exact"/>
        <w:ind w:firstLine="640" w:firstLineChars="200"/>
        <w:textAlignment w:val="baseline"/>
        <w:rPr>
          <w:rFonts w:ascii="仿宋_GB2312" w:hAnsi="Arial" w:eastAsia="仿宋_GB2312" w:cs="Arial"/>
          <w:sz w:val="32"/>
          <w:szCs w:val="32"/>
        </w:rPr>
      </w:pPr>
      <w:r>
        <w:rPr>
          <w:rFonts w:ascii="仿宋_GB2312" w:hAnsi="Arial" w:eastAsia="仿宋_GB2312" w:cs="Arial"/>
          <w:sz w:val="32"/>
          <w:szCs w:val="32"/>
        </w:rPr>
        <w:t>3</w:t>
      </w:r>
      <w:r>
        <w:rPr>
          <w:rFonts w:hint="eastAsia" w:ascii="仿宋_GB2312" w:hAnsi="Arial" w:eastAsia="仿宋_GB2312" w:cs="Arial"/>
          <w:sz w:val="32"/>
          <w:szCs w:val="32"/>
        </w:rPr>
        <w:t>.企业在申报年度内将统计地由区外迁入龙岗的，可以申报本扶持。</w:t>
      </w:r>
    </w:p>
    <w:p>
      <w:pPr>
        <w:snapToGrid w:val="0"/>
        <w:spacing w:line="560" w:lineRule="exact"/>
        <w:ind w:firstLine="640" w:firstLineChars="200"/>
        <w:textAlignment w:val="baseline"/>
        <w:rPr>
          <w:rFonts w:ascii="仿宋_GB2312" w:hAnsi="Arial" w:eastAsia="仿宋_GB2312" w:cs="Arial"/>
          <w:sz w:val="32"/>
          <w:szCs w:val="32"/>
        </w:rPr>
      </w:pPr>
      <w:r>
        <w:rPr>
          <w:rFonts w:ascii="仿宋_GB2312" w:hAnsi="Arial" w:eastAsia="仿宋_GB2312" w:cs="Arial"/>
          <w:sz w:val="32"/>
          <w:szCs w:val="32"/>
        </w:rPr>
        <w:t>4</w:t>
      </w:r>
      <w:r>
        <w:rPr>
          <w:rFonts w:hint="eastAsia" w:ascii="仿宋_GB2312" w:hAnsi="Arial" w:eastAsia="仿宋_GB2312" w:cs="Arial"/>
          <w:sz w:val="32"/>
          <w:szCs w:val="32"/>
        </w:rPr>
        <w:t>.若申报主体在库内有关联企业的，须与关联企业合并申报。合并申报的主体为其中销售额（营业额）最大的企业。</w:t>
      </w:r>
    </w:p>
    <w:p>
      <w:pPr>
        <w:pStyle w:val="9"/>
        <w:shd w:val="clear" w:color="auto" w:fill="FFFFFF"/>
        <w:snapToGrid w:val="0"/>
        <w:spacing w:before="0" w:beforeAutospacing="0" w:after="0" w:afterAutospacing="0" w:line="560" w:lineRule="exact"/>
        <w:ind w:left="640"/>
        <w:textAlignment w:val="baseline"/>
        <w:rPr>
          <w:rFonts w:ascii="仿宋_GB2312" w:hAnsi="Arial" w:eastAsia="仿宋_GB2312" w:cs="Arial"/>
          <w:b/>
          <w:bCs/>
          <w:color w:val="auto"/>
          <w:sz w:val="32"/>
          <w:szCs w:val="32"/>
        </w:rPr>
      </w:pPr>
      <w:r>
        <w:rPr>
          <w:rFonts w:hint="eastAsia" w:ascii="仿宋_GB2312" w:hAnsi="仿宋" w:eastAsia="仿宋_GB2312" w:cs="Arial"/>
          <w:b/>
          <w:bCs/>
          <w:color w:val="auto"/>
          <w:sz w:val="32"/>
          <w:szCs w:val="32"/>
        </w:rPr>
        <w:t>（</w:t>
      </w:r>
      <w:r>
        <w:rPr>
          <w:rFonts w:ascii="仿宋_GB2312" w:hAnsi="仿宋" w:eastAsia="仿宋_GB2312" w:cs="Arial"/>
          <w:b/>
          <w:bCs/>
          <w:color w:val="auto"/>
          <w:sz w:val="32"/>
          <w:szCs w:val="32"/>
        </w:rPr>
        <w:t>四</w:t>
      </w:r>
      <w:r>
        <w:rPr>
          <w:rFonts w:hint="eastAsia" w:ascii="仿宋_GB2312" w:hAnsi="仿宋" w:eastAsia="仿宋_GB2312" w:cs="Arial"/>
          <w:b/>
          <w:bCs/>
          <w:color w:val="auto"/>
          <w:sz w:val="32"/>
          <w:szCs w:val="32"/>
        </w:rPr>
        <w:t>）</w:t>
      </w:r>
      <w:r>
        <w:rPr>
          <w:rFonts w:ascii="仿宋_GB2312" w:hAnsi="仿宋" w:eastAsia="仿宋_GB2312" w:cs="Arial"/>
          <w:b/>
          <w:bCs/>
          <w:color w:val="auto"/>
          <w:sz w:val="32"/>
          <w:szCs w:val="32"/>
        </w:rPr>
        <w:t xml:space="preserve"> 运营</w:t>
      </w:r>
      <w:r>
        <w:rPr>
          <w:rFonts w:hint="eastAsia" w:ascii="仿宋_GB2312" w:hAnsi="Arial" w:eastAsia="仿宋_GB2312" w:cs="Arial"/>
          <w:b/>
          <w:bCs/>
          <w:color w:val="auto"/>
          <w:sz w:val="32"/>
          <w:szCs w:val="32"/>
        </w:rPr>
        <w:t>电子商务示范基地（园区）扶持项目</w:t>
      </w:r>
    </w:p>
    <w:p>
      <w:pPr>
        <w:snapToGrid w:val="0"/>
        <w:spacing w:line="560" w:lineRule="exact"/>
        <w:ind w:firstLine="640" w:firstLineChars="200"/>
        <w:textAlignment w:val="baseline"/>
        <w:rPr>
          <w:rFonts w:ascii="仿宋_GB2312" w:hAnsi="Arial" w:eastAsia="仿宋_GB2312" w:cs="Arial"/>
          <w:sz w:val="32"/>
          <w:szCs w:val="32"/>
        </w:rPr>
      </w:pPr>
      <w:r>
        <w:rPr>
          <w:rFonts w:ascii="仿宋_GB2312" w:hAnsi="Arial" w:eastAsia="仿宋_GB2312" w:cs="Arial"/>
          <w:sz w:val="32"/>
          <w:szCs w:val="32"/>
        </w:rPr>
        <w:t>1.</w:t>
      </w:r>
      <w:r>
        <w:rPr>
          <w:rFonts w:hint="eastAsia" w:ascii="仿宋_GB2312" w:hAnsi="Arial" w:eastAsia="仿宋_GB2312" w:cs="Arial"/>
          <w:sz w:val="32"/>
          <w:szCs w:val="32"/>
        </w:rPr>
        <w:t>电子商务示范基地（园区）须有统一运营单位，且运营单位注册地和统计地均在龙岗区。</w:t>
      </w:r>
    </w:p>
    <w:p>
      <w:pPr>
        <w:snapToGrid w:val="0"/>
        <w:spacing w:line="560" w:lineRule="exact"/>
        <w:ind w:firstLine="640" w:firstLineChars="200"/>
        <w:textAlignment w:val="baseline"/>
        <w:rPr>
          <w:rFonts w:ascii="仿宋_GB2312" w:hAnsi="Arial" w:eastAsia="仿宋_GB2312" w:cs="Arial"/>
          <w:sz w:val="32"/>
          <w:szCs w:val="32"/>
        </w:rPr>
      </w:pPr>
      <w:r>
        <w:rPr>
          <w:rFonts w:hint="eastAsia" w:ascii="仿宋_GB2312" w:hAnsi="Arial" w:eastAsia="仿宋_GB2312" w:cs="Arial"/>
          <w:sz w:val="32"/>
          <w:szCs w:val="32"/>
        </w:rPr>
        <w:t>2.本扶持为核准制，以企业获批（评）国家、省、市商务部门的有关文件为准。</w:t>
      </w:r>
    </w:p>
    <w:p>
      <w:pPr>
        <w:pStyle w:val="9"/>
        <w:shd w:val="clear" w:color="auto" w:fill="FFFFFF"/>
        <w:snapToGrid w:val="0"/>
        <w:spacing w:before="0" w:beforeAutospacing="0" w:after="0" w:afterAutospacing="0" w:line="560" w:lineRule="exact"/>
        <w:ind w:left="640"/>
        <w:textAlignment w:val="baseline"/>
        <w:rPr>
          <w:rFonts w:ascii="仿宋_GB2312" w:hAnsi="Arial" w:eastAsia="仿宋_GB2312" w:cs="Arial"/>
          <w:b/>
          <w:bCs/>
          <w:color w:val="auto"/>
          <w:sz w:val="32"/>
          <w:szCs w:val="32"/>
        </w:rPr>
      </w:pPr>
      <w:r>
        <w:rPr>
          <w:rFonts w:hint="eastAsia" w:ascii="仿宋_GB2312" w:hAnsi="仿宋" w:eastAsia="仿宋_GB2312" w:cs="Arial"/>
          <w:b/>
          <w:bCs/>
          <w:color w:val="auto"/>
          <w:sz w:val="32"/>
          <w:szCs w:val="32"/>
        </w:rPr>
        <w:t>（</w:t>
      </w:r>
      <w:r>
        <w:rPr>
          <w:rFonts w:ascii="仿宋_GB2312" w:hAnsi="仿宋" w:eastAsia="仿宋_GB2312" w:cs="Arial"/>
          <w:b/>
          <w:bCs/>
          <w:color w:val="auto"/>
          <w:sz w:val="32"/>
          <w:szCs w:val="32"/>
        </w:rPr>
        <w:t>五</w:t>
      </w:r>
      <w:r>
        <w:rPr>
          <w:rFonts w:hint="eastAsia" w:ascii="仿宋_GB2312" w:hAnsi="仿宋" w:eastAsia="仿宋_GB2312" w:cs="Arial"/>
          <w:b/>
          <w:bCs/>
          <w:color w:val="auto"/>
          <w:sz w:val="32"/>
          <w:szCs w:val="32"/>
        </w:rPr>
        <w:t>）促消费活动</w:t>
      </w:r>
      <w:r>
        <w:rPr>
          <w:rFonts w:hint="eastAsia" w:ascii="仿宋_GB2312" w:hAnsi="Arial" w:eastAsia="仿宋_GB2312" w:cs="Arial"/>
          <w:b/>
          <w:bCs/>
          <w:color w:val="auto"/>
          <w:sz w:val="32"/>
          <w:szCs w:val="32"/>
        </w:rPr>
        <w:t>扶持项目</w:t>
      </w:r>
    </w:p>
    <w:p>
      <w:pPr>
        <w:snapToGrid w:val="0"/>
        <w:spacing w:line="560" w:lineRule="exact"/>
        <w:ind w:firstLine="640" w:firstLineChars="200"/>
        <w:textAlignment w:val="baseline"/>
        <w:rPr>
          <w:rFonts w:ascii="仿宋_GB2312" w:hAnsi="Arial" w:eastAsia="仿宋_GB2312" w:cs="Arial"/>
          <w:sz w:val="32"/>
          <w:szCs w:val="32"/>
        </w:rPr>
      </w:pPr>
      <w:r>
        <w:rPr>
          <w:rFonts w:hint="eastAsia" w:ascii="仿宋_GB2312" w:hAnsi="Arial" w:eastAsia="仿宋_GB2312" w:cs="Arial"/>
          <w:sz w:val="32"/>
          <w:szCs w:val="32"/>
        </w:rPr>
        <w:t>1.申报企业的注册地在深圳市。</w:t>
      </w:r>
    </w:p>
    <w:p>
      <w:pPr>
        <w:snapToGrid w:val="0"/>
        <w:spacing w:line="560" w:lineRule="exact"/>
        <w:ind w:firstLine="640" w:firstLineChars="200"/>
        <w:textAlignment w:val="baseline"/>
        <w:rPr>
          <w:rFonts w:ascii="仿宋_GB2312" w:hAnsi="Arial" w:eastAsia="仿宋_GB2312" w:cs="Arial"/>
          <w:sz w:val="32"/>
          <w:szCs w:val="32"/>
        </w:rPr>
      </w:pPr>
      <w:r>
        <w:rPr>
          <w:rFonts w:ascii="仿宋_GB2312" w:hAnsi="Arial" w:eastAsia="仿宋_GB2312" w:cs="Arial"/>
          <w:sz w:val="32"/>
          <w:szCs w:val="32"/>
        </w:rPr>
        <w:t>2.</w:t>
      </w:r>
      <w:r>
        <w:rPr>
          <w:rFonts w:hint="eastAsia" w:ascii="仿宋_GB2312" w:hAnsi="Arial" w:eastAsia="仿宋_GB2312" w:cs="Arial"/>
          <w:sz w:val="32"/>
          <w:szCs w:val="32"/>
        </w:rPr>
        <w:t>企业</w:t>
      </w:r>
      <w:r>
        <w:rPr>
          <w:rFonts w:hint="eastAsia" w:ascii="仿宋_GB2312" w:hAnsi="Arial" w:eastAsia="仿宋_GB2312" w:cs="Arial"/>
          <w:sz w:val="32"/>
          <w:szCs w:val="32"/>
          <w:lang w:val="zh-TW"/>
        </w:rPr>
        <w:t>实际投入</w:t>
      </w:r>
      <w:r>
        <w:rPr>
          <w:rFonts w:hint="eastAsia" w:ascii="仿宋_GB2312" w:hAnsi="Arial" w:eastAsia="仿宋_GB2312" w:cs="Arial"/>
          <w:sz w:val="32"/>
          <w:szCs w:val="32"/>
        </w:rPr>
        <w:t>包括活动的场地、物料、整体策划及宣传推广费用。</w:t>
      </w:r>
    </w:p>
    <w:p>
      <w:pPr>
        <w:snapToGrid w:val="0"/>
        <w:spacing w:line="560" w:lineRule="exact"/>
        <w:ind w:firstLine="640" w:firstLineChars="200"/>
        <w:textAlignment w:val="baseline"/>
      </w:pPr>
      <w:r>
        <w:rPr>
          <w:rFonts w:ascii="仿宋_GB2312" w:hAnsi="Arial" w:eastAsia="仿宋_GB2312" w:cs="Arial"/>
          <w:sz w:val="32"/>
          <w:szCs w:val="32"/>
        </w:rPr>
        <w:t>3</w:t>
      </w:r>
      <w:r>
        <w:rPr>
          <w:rFonts w:hint="eastAsia" w:ascii="仿宋_GB2312" w:hAnsi="Arial" w:eastAsia="仿宋_GB2312" w:cs="Arial"/>
          <w:sz w:val="32"/>
          <w:szCs w:val="32"/>
        </w:rPr>
        <w:t>.本扶持为核准制，以区商务部门发布的有关文件（经备案）及</w:t>
      </w:r>
      <w:r>
        <w:rPr>
          <w:rFonts w:hint="eastAsia" w:ascii="仿宋_GB2312" w:hAnsi="仿宋_GB2312" w:eastAsia="仿宋_GB2312" w:cs="仿宋_GB2312"/>
          <w:sz w:val="32"/>
          <w:szCs w:val="32"/>
        </w:rPr>
        <w:t>企业实际投入经第三方专业机构审计结果</w:t>
      </w:r>
      <w:r>
        <w:rPr>
          <w:rFonts w:hint="eastAsia" w:ascii="仿宋_GB2312" w:hAnsi="Arial" w:eastAsia="仿宋_GB2312" w:cs="Arial"/>
          <w:sz w:val="32"/>
          <w:szCs w:val="32"/>
        </w:rPr>
        <w:t>为准。</w:t>
      </w:r>
    </w:p>
    <w:p>
      <w:pPr>
        <w:pStyle w:val="9"/>
        <w:shd w:val="clear" w:color="auto" w:fill="FFFFFF"/>
        <w:snapToGrid w:val="0"/>
        <w:spacing w:before="0" w:beforeAutospacing="0" w:after="0" w:afterAutospacing="0" w:line="560" w:lineRule="exact"/>
        <w:ind w:left="640"/>
        <w:textAlignment w:val="baseline"/>
        <w:rPr>
          <w:rFonts w:ascii="仿宋_GB2312" w:hAnsi="Arial" w:eastAsia="仿宋_GB2312" w:cs="Arial"/>
          <w:b/>
          <w:bCs/>
          <w:color w:val="auto"/>
          <w:sz w:val="32"/>
          <w:szCs w:val="32"/>
        </w:rPr>
      </w:pPr>
      <w:r>
        <w:rPr>
          <w:rFonts w:hint="eastAsia" w:ascii="仿宋_GB2312" w:hAnsi="仿宋" w:eastAsia="仿宋_GB2312" w:cs="Arial"/>
          <w:b/>
          <w:bCs/>
          <w:color w:val="auto"/>
          <w:sz w:val="32"/>
          <w:szCs w:val="32"/>
        </w:rPr>
        <w:t>（</w:t>
      </w:r>
      <w:r>
        <w:rPr>
          <w:rFonts w:ascii="仿宋_GB2312" w:hAnsi="仿宋" w:eastAsia="仿宋_GB2312" w:cs="Arial"/>
          <w:b/>
          <w:bCs/>
          <w:color w:val="auto"/>
          <w:sz w:val="32"/>
          <w:szCs w:val="32"/>
        </w:rPr>
        <w:t>六</w:t>
      </w:r>
      <w:r>
        <w:rPr>
          <w:rFonts w:hint="eastAsia" w:ascii="仿宋_GB2312" w:hAnsi="仿宋" w:eastAsia="仿宋_GB2312" w:cs="Arial"/>
          <w:b/>
          <w:bCs/>
          <w:color w:val="auto"/>
          <w:sz w:val="32"/>
          <w:szCs w:val="32"/>
        </w:rPr>
        <w:t>）促进夜间经济发展</w:t>
      </w:r>
      <w:r>
        <w:rPr>
          <w:rFonts w:hint="eastAsia" w:ascii="仿宋_GB2312" w:hAnsi="Arial" w:eastAsia="仿宋_GB2312" w:cs="Arial"/>
          <w:b/>
          <w:bCs/>
          <w:color w:val="auto"/>
          <w:sz w:val="32"/>
          <w:szCs w:val="32"/>
        </w:rPr>
        <w:t>扶持项目</w:t>
      </w:r>
    </w:p>
    <w:p>
      <w:pPr>
        <w:snapToGrid w:val="0"/>
        <w:spacing w:line="560" w:lineRule="exact"/>
        <w:ind w:firstLine="640" w:firstLineChars="200"/>
        <w:textAlignment w:val="baseline"/>
        <w:rPr>
          <w:rFonts w:ascii="仿宋_GB2312" w:hAnsi="Arial" w:eastAsia="仿宋_GB2312" w:cs="Arial"/>
          <w:sz w:val="32"/>
          <w:szCs w:val="32"/>
        </w:rPr>
      </w:pPr>
      <w:r>
        <w:rPr>
          <w:rFonts w:ascii="仿宋_GB2312" w:hAnsi="Arial" w:eastAsia="仿宋_GB2312" w:cs="Arial"/>
          <w:sz w:val="32"/>
          <w:szCs w:val="32"/>
        </w:rPr>
        <w:t>1.</w:t>
      </w:r>
      <w:r>
        <w:rPr>
          <w:rFonts w:hint="eastAsia" w:ascii="仿宋_GB2312" w:hAnsi="Arial" w:eastAsia="仿宋_GB2312" w:cs="Arial"/>
          <w:sz w:val="32"/>
          <w:szCs w:val="32"/>
        </w:rPr>
        <w:t>夜间经济示范街区须有统一运营单位，且运营单位注册地和统计地均在龙岗区。</w:t>
      </w:r>
    </w:p>
    <w:p>
      <w:pPr>
        <w:snapToGrid w:val="0"/>
        <w:spacing w:line="560" w:lineRule="exact"/>
        <w:ind w:firstLine="640" w:firstLineChars="200"/>
        <w:textAlignment w:val="baseline"/>
        <w:rPr>
          <w:rFonts w:ascii="仿宋_GB2312" w:hAnsi="Arial" w:eastAsia="仿宋_GB2312" w:cs="Arial"/>
          <w:sz w:val="32"/>
        </w:rPr>
      </w:pPr>
      <w:r>
        <w:rPr>
          <w:rFonts w:hint="eastAsia" w:ascii="仿宋_GB2312" w:hAnsi="Arial" w:eastAsia="仿宋_GB2312" w:cs="Arial"/>
          <w:sz w:val="32"/>
          <w:szCs w:val="32"/>
        </w:rPr>
        <w:t>2.本扶持为核准制，以企业获得深圳市、龙岗区商务部门</w:t>
      </w:r>
      <w:r>
        <w:rPr>
          <w:rFonts w:hint="eastAsia" w:ascii="仿宋_GB2312" w:hAnsi="仿宋_GB2312" w:eastAsia="仿宋_GB2312" w:cs="仿宋_GB2312"/>
          <w:kern w:val="0"/>
          <w:sz w:val="32"/>
          <w:szCs w:val="32"/>
        </w:rPr>
        <w:t>认定</w:t>
      </w:r>
      <w:r>
        <w:rPr>
          <w:rFonts w:ascii="仿宋_GB2312" w:hAnsi="仿宋_GB2312" w:eastAsia="仿宋_GB2312" w:cs="仿宋_GB2312"/>
          <w:kern w:val="0"/>
          <w:sz w:val="32"/>
          <w:szCs w:val="32"/>
        </w:rPr>
        <w:t>的夜间经济示范街区文件</w:t>
      </w:r>
      <w:r>
        <w:rPr>
          <w:rFonts w:hint="eastAsia" w:ascii="仿宋_GB2312" w:hAnsi="Arial" w:eastAsia="仿宋_GB2312" w:cs="Arial"/>
          <w:sz w:val="32"/>
          <w:szCs w:val="32"/>
        </w:rPr>
        <w:t>为准。</w:t>
      </w:r>
    </w:p>
    <w:p>
      <w:pPr>
        <w:snapToGrid w:val="0"/>
        <w:spacing w:line="560" w:lineRule="exact"/>
        <w:ind w:firstLine="640" w:firstLineChars="200"/>
        <w:textAlignment w:val="baseline"/>
        <w:rPr>
          <w:rFonts w:ascii="仿宋_GB2312" w:hAnsi="Arial" w:eastAsia="仿宋_GB2312" w:cs="Arial"/>
          <w:sz w:val="32"/>
          <w:szCs w:val="32"/>
        </w:rPr>
      </w:pPr>
      <w:r>
        <w:rPr>
          <w:rFonts w:hint="eastAsia" w:ascii="仿宋_GB2312" w:hAnsi="Arial" w:eastAsia="仿宋_GB2312" w:cs="Arial"/>
          <w:sz w:val="32"/>
          <w:szCs w:val="32"/>
        </w:rPr>
        <w:t>3.同一家夜间经济示范街区运营企业最高享受200万元奖励。</w:t>
      </w:r>
    </w:p>
    <w:p>
      <w:pPr>
        <w:pStyle w:val="9"/>
        <w:shd w:val="clear" w:color="auto" w:fill="FFFFFF"/>
        <w:snapToGrid w:val="0"/>
        <w:spacing w:before="0" w:beforeAutospacing="0" w:after="0" w:afterAutospacing="0" w:line="560" w:lineRule="exact"/>
        <w:ind w:left="640"/>
        <w:textAlignment w:val="baseline"/>
        <w:rPr>
          <w:rFonts w:ascii="仿宋_GB2312" w:hAnsi="Arial" w:eastAsia="仿宋_GB2312" w:cs="Arial"/>
          <w:b/>
          <w:bCs/>
          <w:color w:val="auto"/>
          <w:sz w:val="32"/>
          <w:szCs w:val="32"/>
        </w:rPr>
      </w:pPr>
      <w:r>
        <w:rPr>
          <w:rFonts w:hint="eastAsia" w:ascii="仿宋_GB2312" w:hAnsi="仿宋" w:eastAsia="仿宋_GB2312" w:cs="Arial"/>
          <w:b/>
          <w:bCs/>
          <w:color w:val="auto"/>
          <w:sz w:val="32"/>
          <w:szCs w:val="32"/>
        </w:rPr>
        <w:t>（</w:t>
      </w:r>
      <w:r>
        <w:rPr>
          <w:rFonts w:ascii="仿宋_GB2312" w:hAnsi="仿宋" w:eastAsia="仿宋_GB2312" w:cs="Arial"/>
          <w:b/>
          <w:bCs/>
          <w:color w:val="auto"/>
          <w:sz w:val="32"/>
          <w:szCs w:val="32"/>
        </w:rPr>
        <w:t>七</w:t>
      </w:r>
      <w:r>
        <w:rPr>
          <w:rFonts w:hint="eastAsia" w:ascii="仿宋_GB2312" w:hAnsi="仿宋" w:eastAsia="仿宋_GB2312" w:cs="Arial"/>
          <w:b/>
          <w:bCs/>
          <w:color w:val="auto"/>
          <w:sz w:val="32"/>
          <w:szCs w:val="32"/>
        </w:rPr>
        <w:t>）</w:t>
      </w:r>
      <w:r>
        <w:rPr>
          <w:rFonts w:ascii="仿宋_GB2312" w:hAnsi="仿宋" w:eastAsia="仿宋_GB2312" w:cs="Arial"/>
          <w:b/>
          <w:bCs/>
          <w:color w:val="auto"/>
          <w:sz w:val="32"/>
          <w:szCs w:val="32"/>
        </w:rPr>
        <w:t>商贸企业</w:t>
      </w:r>
      <w:r>
        <w:rPr>
          <w:rFonts w:hint="eastAsia" w:ascii="仿宋_GB2312" w:hAnsi="Arial" w:eastAsia="仿宋_GB2312" w:cs="Arial"/>
          <w:b/>
          <w:bCs/>
          <w:color w:val="auto"/>
          <w:sz w:val="32"/>
          <w:szCs w:val="32"/>
        </w:rPr>
        <w:t>配套扶持项目</w:t>
      </w:r>
    </w:p>
    <w:p>
      <w:pPr>
        <w:snapToGrid w:val="0"/>
        <w:spacing w:line="560" w:lineRule="exact"/>
        <w:ind w:firstLine="640" w:firstLineChars="200"/>
        <w:textAlignment w:val="baseline"/>
        <w:rPr>
          <w:rFonts w:ascii="仿宋_GB2312" w:hAnsi="Arial" w:eastAsia="仿宋_GB2312" w:cs="Arial"/>
          <w:sz w:val="32"/>
          <w:szCs w:val="32"/>
        </w:rPr>
      </w:pPr>
      <w:r>
        <w:rPr>
          <w:rFonts w:hint="eastAsia" w:ascii="仿宋_GB2312" w:hAnsi="Arial" w:eastAsia="仿宋_GB2312" w:cs="Arial"/>
          <w:sz w:val="32"/>
          <w:szCs w:val="32"/>
        </w:rPr>
        <w:t>1.申报企业的注册地和统计地均在龙岗区。</w:t>
      </w:r>
    </w:p>
    <w:p>
      <w:pPr>
        <w:pStyle w:val="4"/>
        <w:spacing w:line="560" w:lineRule="exact"/>
        <w:ind w:firstLine="640"/>
        <w:textAlignment w:val="baseline"/>
      </w:pPr>
      <w:r>
        <w:rPr>
          <w:rFonts w:ascii="仿宋" w:hAnsi="仿宋" w:eastAsia="仿宋" w:cs="仿宋"/>
          <w:kern w:val="0"/>
          <w:sz w:val="32"/>
          <w:szCs w:val="32"/>
        </w:rPr>
        <w:t>2.</w:t>
      </w:r>
      <w:r>
        <w:rPr>
          <w:rFonts w:hint="eastAsia" w:ascii="仿宋" w:hAnsi="仿宋" w:eastAsia="仿宋" w:cs="仿宋"/>
          <w:kern w:val="0"/>
          <w:sz w:val="32"/>
          <w:szCs w:val="32"/>
        </w:rPr>
        <w:t>企业应在获得相关扶持资金的当年或第二个会计年度内提出申请。</w:t>
      </w:r>
    </w:p>
    <w:p>
      <w:pPr>
        <w:snapToGrid w:val="0"/>
        <w:spacing w:line="560" w:lineRule="exact"/>
        <w:ind w:firstLine="640" w:firstLineChars="200"/>
        <w:textAlignment w:val="baseline"/>
        <w:rPr>
          <w:rFonts w:ascii="仿宋_GB2312" w:hAnsi="Arial" w:eastAsia="仿宋_GB2312" w:cs="Arial"/>
          <w:sz w:val="32"/>
          <w:szCs w:val="32"/>
        </w:rPr>
      </w:pPr>
      <w:r>
        <w:rPr>
          <w:rFonts w:ascii="仿宋_GB2312" w:hAnsi="Arial" w:eastAsia="仿宋_GB2312" w:cs="Arial"/>
          <w:sz w:val="32"/>
          <w:szCs w:val="32"/>
        </w:rPr>
        <w:t>3</w:t>
      </w:r>
      <w:r>
        <w:rPr>
          <w:rFonts w:hint="eastAsia" w:ascii="仿宋_GB2312" w:hAnsi="Arial" w:eastAsia="仿宋_GB2312" w:cs="Arial"/>
          <w:sz w:val="32"/>
          <w:szCs w:val="32"/>
        </w:rPr>
        <w:t>.本扶持为核准制，</w:t>
      </w:r>
      <w:r>
        <w:rPr>
          <w:rFonts w:hint="eastAsia" w:ascii="仿宋_GB2312" w:hAnsi="仿宋_GB2312" w:eastAsia="仿宋_GB2312" w:cs="仿宋_GB2312"/>
          <w:kern w:val="0"/>
          <w:sz w:val="32"/>
          <w:szCs w:val="32"/>
        </w:rPr>
        <w:t>按照企业获得深圳市实际扶持额的</w:t>
      </w:r>
      <w:r>
        <w:rPr>
          <w:rFonts w:ascii="仿宋_GB2312" w:hAnsi="仿宋_GB2312" w:eastAsia="仿宋_GB2312" w:cs="仿宋_GB2312"/>
          <w:kern w:val="0"/>
          <w:sz w:val="32"/>
          <w:szCs w:val="32"/>
        </w:rPr>
        <w:t>50%给予奖励，</w:t>
      </w:r>
      <w:r>
        <w:rPr>
          <w:rFonts w:ascii="仿宋_GB2312" w:hAnsi="仿宋_GB2312" w:eastAsia="仿宋_GB2312" w:cs="仿宋_GB2312"/>
          <w:sz w:val="32"/>
          <w:szCs w:val="32"/>
        </w:rPr>
        <w:t>根据《深圳市关于加强建设国际消费中心城市的若干措施》，对“汇聚高端消费品牌资源”“打造全球新零售发展高地”项目</w:t>
      </w:r>
      <w:r>
        <w:rPr>
          <w:rFonts w:hint="eastAsia" w:ascii="仿宋_GB2312" w:hAnsi="Arial" w:eastAsia="仿宋_GB2312" w:cs="Arial"/>
          <w:sz w:val="32"/>
          <w:szCs w:val="32"/>
        </w:rPr>
        <w:t>获得市商务局</w:t>
      </w:r>
      <w:r>
        <w:rPr>
          <w:rFonts w:hint="eastAsia" w:ascii="仿宋_GB2312" w:hAnsi="仿宋_GB2312" w:eastAsia="仿宋_GB2312" w:cs="仿宋_GB2312"/>
          <w:kern w:val="0"/>
          <w:sz w:val="32"/>
          <w:szCs w:val="32"/>
        </w:rPr>
        <w:t>奖励的</w:t>
      </w:r>
      <w:r>
        <w:rPr>
          <w:rFonts w:hint="eastAsia" w:ascii="仿宋_GB2312" w:hAnsi="Arial" w:eastAsia="仿宋_GB2312" w:cs="Arial"/>
          <w:sz w:val="32"/>
          <w:szCs w:val="32"/>
        </w:rPr>
        <w:t>有关文件及拨款经费进账凭证为准。</w:t>
      </w:r>
    </w:p>
    <w:p>
      <w:pPr>
        <w:pStyle w:val="9"/>
        <w:shd w:val="clear" w:color="auto" w:fill="FFFFFF"/>
        <w:snapToGrid w:val="0"/>
        <w:spacing w:before="0" w:beforeAutospacing="0" w:after="0" w:afterAutospacing="0" w:line="560" w:lineRule="exact"/>
        <w:ind w:firstLine="643" w:firstLineChars="200"/>
        <w:textAlignment w:val="baseline"/>
        <w:rPr>
          <w:rFonts w:ascii="仿宋" w:hAnsi="仿宋" w:eastAsia="仿宋" w:cs="仿宋"/>
          <w:b/>
          <w:bCs/>
          <w:color w:val="auto"/>
          <w:kern w:val="2"/>
          <w:sz w:val="32"/>
          <w:szCs w:val="32"/>
        </w:rPr>
      </w:pPr>
      <w:r>
        <w:rPr>
          <w:rFonts w:hint="eastAsia" w:ascii="仿宋" w:hAnsi="仿宋" w:eastAsia="仿宋" w:cs="仿宋"/>
          <w:b/>
          <w:bCs/>
          <w:color w:val="auto"/>
          <w:kern w:val="2"/>
          <w:sz w:val="32"/>
          <w:szCs w:val="32"/>
        </w:rPr>
        <w:t>（</w:t>
      </w:r>
      <w:r>
        <w:rPr>
          <w:rFonts w:ascii="仿宋" w:hAnsi="仿宋" w:eastAsia="仿宋" w:cs="仿宋"/>
          <w:b/>
          <w:bCs/>
          <w:color w:val="auto"/>
          <w:kern w:val="2"/>
          <w:sz w:val="32"/>
          <w:szCs w:val="32"/>
        </w:rPr>
        <w:t>八</w:t>
      </w:r>
      <w:r>
        <w:rPr>
          <w:rFonts w:hint="eastAsia" w:ascii="仿宋" w:hAnsi="仿宋" w:eastAsia="仿宋" w:cs="仿宋"/>
          <w:b/>
          <w:bCs/>
          <w:color w:val="auto"/>
          <w:kern w:val="2"/>
          <w:sz w:val="32"/>
          <w:szCs w:val="32"/>
        </w:rPr>
        <w:t>）工业设计配套扶持项目</w:t>
      </w:r>
    </w:p>
    <w:p>
      <w:pPr>
        <w:pStyle w:val="9"/>
        <w:shd w:val="clear" w:color="auto" w:fill="FFFFFF"/>
        <w:snapToGrid w:val="0"/>
        <w:spacing w:before="0" w:beforeAutospacing="0" w:after="0" w:afterAutospacing="0" w:line="560" w:lineRule="exact"/>
        <w:ind w:firstLine="640" w:firstLineChars="200"/>
        <w:textAlignment w:val="baseline"/>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sz w:val="32"/>
          <w:szCs w:val="32"/>
        </w:rPr>
        <w:t>1.申报企业的注册地和统计地均在龙岗区。</w:t>
      </w:r>
    </w:p>
    <w:p>
      <w:pPr>
        <w:pStyle w:val="9"/>
        <w:shd w:val="clear" w:color="auto" w:fill="FFFFFF"/>
        <w:snapToGrid w:val="0"/>
        <w:spacing w:before="0" w:beforeAutospacing="0" w:after="0" w:afterAutospacing="0" w:line="56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sz w:val="32"/>
          <w:szCs w:val="32"/>
        </w:rPr>
        <w:t>本扶持为核准制，企业需获得《深圳市关于促进工业设计发展的若干措施》中关于“工业设计中心”、“工业设计研究院”、“知名工业设计奖项”、“工业设计创新与转化应用”、“中小微制造企业工业设计应用”、“工业设计创新服务支撑平台”项目扶持资金，并在获得相关扶持资金当年或第二个会计年度内提出申请，以企业获得市级认定或资助的有关文件及拨款经费进账凭证为准。如需</w:t>
      </w:r>
      <w:r>
        <w:rPr>
          <w:rFonts w:hint="eastAsia" w:ascii="仿宋_GB2312" w:hAnsi="仿宋_GB2312" w:eastAsia="仿宋_GB2312" w:cs="仿宋_GB2312"/>
          <w:color w:val="auto"/>
          <w:sz w:val="32"/>
          <w:szCs w:val="32"/>
        </w:rPr>
        <w:t>完成项目整体验收的</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在项目完成整体验收当年或第二个会计年度内提出申请。</w:t>
      </w:r>
    </w:p>
    <w:p>
      <w:pPr>
        <w:spacing w:line="560" w:lineRule="exact"/>
        <w:ind w:firstLine="640" w:firstLineChars="200"/>
        <w:textAlignment w:val="baseline"/>
        <w:rPr>
          <w:rFonts w:ascii="仿宋_GB2312" w:hAnsi="仿宋_GB2312" w:eastAsia="仿宋_GB2312" w:cs="仿宋_GB2312"/>
          <w:kern w:val="0"/>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kern w:val="0"/>
          <w:sz w:val="32"/>
          <w:szCs w:val="32"/>
        </w:rPr>
        <w:t>本条款不适用已获区文化广电旅游体育局扶持的工业设计奖励的项目。</w:t>
      </w:r>
    </w:p>
    <w:p>
      <w:pPr>
        <w:pStyle w:val="9"/>
        <w:shd w:val="clear" w:color="auto" w:fill="FFFFFF"/>
        <w:snapToGrid w:val="0"/>
        <w:spacing w:before="0" w:beforeAutospacing="0" w:after="0" w:afterAutospacing="0" w:line="560" w:lineRule="exact"/>
        <w:ind w:firstLine="643" w:firstLineChars="200"/>
        <w:textAlignment w:val="baseline"/>
        <w:rPr>
          <w:rFonts w:ascii="仿宋" w:hAnsi="仿宋" w:eastAsia="仿宋" w:cs="仿宋"/>
          <w:b/>
          <w:bCs/>
          <w:color w:val="auto"/>
          <w:kern w:val="2"/>
          <w:sz w:val="32"/>
          <w:szCs w:val="32"/>
        </w:rPr>
      </w:pPr>
      <w:r>
        <w:rPr>
          <w:rFonts w:hint="eastAsia" w:ascii="仿宋" w:hAnsi="仿宋" w:eastAsia="仿宋" w:cs="仿宋"/>
          <w:b/>
          <w:bCs/>
          <w:color w:val="auto"/>
          <w:kern w:val="2"/>
          <w:sz w:val="32"/>
          <w:szCs w:val="32"/>
        </w:rPr>
        <w:t>（</w:t>
      </w:r>
      <w:r>
        <w:rPr>
          <w:rFonts w:ascii="仿宋" w:hAnsi="仿宋" w:eastAsia="仿宋" w:cs="仿宋"/>
          <w:b/>
          <w:bCs/>
          <w:color w:val="auto"/>
          <w:kern w:val="2"/>
          <w:sz w:val="32"/>
          <w:szCs w:val="32"/>
        </w:rPr>
        <w:t>九</w:t>
      </w:r>
      <w:r>
        <w:rPr>
          <w:rFonts w:hint="eastAsia" w:ascii="仿宋" w:hAnsi="仿宋" w:eastAsia="仿宋" w:cs="仿宋"/>
          <w:b/>
          <w:bCs/>
          <w:color w:val="auto"/>
          <w:kern w:val="2"/>
          <w:sz w:val="32"/>
          <w:szCs w:val="32"/>
        </w:rPr>
        <w:t>）企业自行参展扶持项目</w:t>
      </w:r>
    </w:p>
    <w:p>
      <w:pPr>
        <w:spacing w:line="560" w:lineRule="exact"/>
        <w:ind w:firstLine="640" w:firstLineChars="200"/>
        <w:textAlignment w:val="baseline"/>
        <w:rPr>
          <w:rFonts w:ascii="仿宋" w:hAnsi="仿宋" w:eastAsia="仿宋" w:cs="仿宋"/>
          <w:sz w:val="32"/>
          <w:szCs w:val="32"/>
        </w:rPr>
      </w:pPr>
      <w:r>
        <w:rPr>
          <w:rFonts w:ascii="仿宋" w:hAnsi="仿宋" w:eastAsia="仿宋" w:cs="仿宋"/>
          <w:sz w:val="32"/>
          <w:szCs w:val="32"/>
        </w:rPr>
        <w:t>1.</w:t>
      </w:r>
      <w:r>
        <w:rPr>
          <w:rFonts w:hint="eastAsia" w:ascii="仿宋_GB2312" w:hAnsi="Arial" w:eastAsia="仿宋_GB2312" w:cs="Arial"/>
          <w:sz w:val="32"/>
          <w:szCs w:val="32"/>
        </w:rPr>
        <w:t>申报企业的注册地和统计地均在龙岗区，行业组织的注册地在龙岗区。</w:t>
      </w:r>
    </w:p>
    <w:p>
      <w:pPr>
        <w:spacing w:line="560" w:lineRule="exact"/>
        <w:ind w:firstLine="640" w:firstLineChars="200"/>
        <w:textAlignment w:val="baseline"/>
        <w:rPr>
          <w:rFonts w:ascii="仿宋_GB2312" w:eastAsia="仿宋_GB2312"/>
          <w:sz w:val="32"/>
          <w:szCs w:val="32"/>
        </w:rPr>
      </w:pPr>
      <w:r>
        <w:rPr>
          <w:rFonts w:ascii="仿宋" w:hAnsi="仿宋" w:eastAsia="仿宋" w:cs="仿宋"/>
          <w:sz w:val="32"/>
          <w:szCs w:val="32"/>
        </w:rPr>
        <w:t>2.申报企业</w:t>
      </w:r>
      <w:r>
        <w:rPr>
          <w:rFonts w:hint="eastAsia" w:ascii="仿宋_GB2312" w:hAnsi="Arial" w:eastAsia="仿宋_GB2312" w:cs="Arial"/>
          <w:sz w:val="32"/>
          <w:szCs w:val="32"/>
        </w:rPr>
        <w:t>、行业组织</w:t>
      </w:r>
      <w:r>
        <w:rPr>
          <w:rFonts w:hint="eastAsia" w:ascii="仿宋_GB2312" w:eastAsia="仿宋_GB2312"/>
          <w:sz w:val="32"/>
          <w:szCs w:val="32"/>
        </w:rPr>
        <w:t>成立时间一年及以上。</w:t>
      </w:r>
    </w:p>
    <w:p>
      <w:pPr>
        <w:spacing w:line="560" w:lineRule="exact"/>
        <w:ind w:firstLine="640" w:firstLineChars="200"/>
        <w:textAlignment w:val="baseline"/>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新迁入龙岗区的企业需将注册地、纳税地迁入龙岗区一年及以上；新迁入龙岗区的行业组织需将注册地迁入龙岗区一年及以上。</w:t>
      </w:r>
    </w:p>
    <w:p>
      <w:pPr>
        <w:spacing w:line="560" w:lineRule="exact"/>
        <w:ind w:firstLine="640" w:firstLineChars="200"/>
        <w:textAlignment w:val="baseline"/>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符合第十三条（一）规定</w:t>
      </w:r>
      <w:r>
        <w:rPr>
          <w:rFonts w:hint="eastAsia" w:ascii="仿宋_GB2312" w:hAnsi="仿宋_GB2312" w:eastAsia="仿宋_GB2312" w:cs="仿宋_GB2312"/>
          <w:kern w:val="0"/>
          <w:sz w:val="32"/>
          <w:szCs w:val="32"/>
        </w:rPr>
        <w:t>。</w:t>
      </w:r>
    </w:p>
    <w:p>
      <w:pPr>
        <w:spacing w:line="560" w:lineRule="exact"/>
        <w:ind w:firstLine="640" w:firstLineChars="200"/>
        <w:textAlignment w:val="baseline"/>
        <w:rPr>
          <w:rFonts w:ascii="仿宋_GB2312" w:eastAsia="仿宋_GB2312"/>
          <w:sz w:val="32"/>
          <w:szCs w:val="32"/>
        </w:rPr>
      </w:pPr>
      <w:r>
        <w:rPr>
          <w:rFonts w:ascii="仿宋" w:hAnsi="仿宋" w:eastAsia="仿宋" w:cs="仿宋"/>
          <w:sz w:val="32"/>
          <w:szCs w:val="32"/>
        </w:rPr>
        <w:t>5.</w:t>
      </w:r>
      <w:r>
        <w:rPr>
          <w:rFonts w:hint="eastAsia" w:ascii="仿宋_GB2312" w:eastAsia="仿宋_GB2312"/>
          <w:sz w:val="32"/>
          <w:szCs w:val="32"/>
        </w:rPr>
        <w:t>所申请展位费金额</w:t>
      </w:r>
      <w:r>
        <w:rPr>
          <w:rFonts w:hint="eastAsia" w:ascii="仿宋_GB2312" w:hAnsi="仿宋_GB2312" w:eastAsia="仿宋_GB2312" w:cs="仿宋_GB2312"/>
          <w:kern w:val="0"/>
          <w:sz w:val="32"/>
          <w:szCs w:val="32"/>
        </w:rPr>
        <w:t>（线下展会为展位、场地、空间租赁费用；线上展会为平台入驻、展示服务费用</w:t>
      </w:r>
      <w:r>
        <w:rPr>
          <w:rFonts w:hint="eastAsia" w:ascii="仿宋_GB2312" w:eastAsia="仿宋_GB2312"/>
          <w:sz w:val="32"/>
          <w:szCs w:val="32"/>
        </w:rPr>
        <w:t>）达到2万元及以上。</w:t>
      </w:r>
    </w:p>
    <w:p>
      <w:pPr>
        <w:pStyle w:val="9"/>
        <w:shd w:val="clear" w:color="auto" w:fill="FFFFFF"/>
        <w:snapToGrid w:val="0"/>
        <w:spacing w:before="0" w:beforeAutospacing="0" w:after="0" w:afterAutospacing="0" w:line="560" w:lineRule="exact"/>
        <w:ind w:firstLine="643" w:firstLineChars="200"/>
        <w:textAlignment w:val="baseline"/>
        <w:rPr>
          <w:rFonts w:ascii="仿宋" w:hAnsi="仿宋" w:eastAsia="仿宋" w:cs="仿宋"/>
          <w:b/>
          <w:bCs/>
          <w:color w:val="auto"/>
          <w:kern w:val="2"/>
          <w:sz w:val="32"/>
          <w:szCs w:val="32"/>
        </w:rPr>
      </w:pPr>
      <w:r>
        <w:rPr>
          <w:rFonts w:hint="eastAsia" w:ascii="仿宋" w:hAnsi="仿宋" w:eastAsia="仿宋" w:cs="仿宋"/>
          <w:b/>
          <w:bCs/>
          <w:color w:val="auto"/>
          <w:kern w:val="2"/>
          <w:sz w:val="32"/>
          <w:szCs w:val="32"/>
        </w:rPr>
        <w:t>（</w:t>
      </w:r>
      <w:r>
        <w:rPr>
          <w:rFonts w:ascii="仿宋" w:hAnsi="仿宋" w:eastAsia="仿宋" w:cs="仿宋"/>
          <w:b/>
          <w:bCs/>
          <w:color w:val="auto"/>
          <w:kern w:val="2"/>
          <w:sz w:val="32"/>
          <w:szCs w:val="32"/>
        </w:rPr>
        <w:t>十</w:t>
      </w:r>
      <w:r>
        <w:rPr>
          <w:rFonts w:hint="eastAsia" w:ascii="仿宋" w:hAnsi="仿宋" w:eastAsia="仿宋" w:cs="仿宋"/>
          <w:b/>
          <w:bCs/>
          <w:color w:val="auto"/>
          <w:kern w:val="2"/>
          <w:sz w:val="32"/>
          <w:szCs w:val="32"/>
        </w:rPr>
        <w:t>）区统一组团参展扶持项目</w:t>
      </w:r>
    </w:p>
    <w:p>
      <w:pPr>
        <w:spacing w:line="560" w:lineRule="exact"/>
        <w:ind w:firstLine="640" w:firstLineChars="200"/>
        <w:textAlignment w:val="baseline"/>
        <w:rPr>
          <w:rFonts w:ascii="仿宋" w:hAnsi="仿宋" w:eastAsia="仿宋" w:cs="仿宋"/>
          <w:sz w:val="32"/>
          <w:szCs w:val="32"/>
        </w:rPr>
      </w:pPr>
      <w:r>
        <w:rPr>
          <w:rFonts w:ascii="仿宋" w:hAnsi="仿宋" w:eastAsia="仿宋" w:cs="仿宋"/>
          <w:sz w:val="32"/>
          <w:szCs w:val="32"/>
        </w:rPr>
        <w:t>1.</w:t>
      </w:r>
      <w:r>
        <w:rPr>
          <w:rFonts w:hint="eastAsia" w:ascii="仿宋_GB2312" w:hAnsi="Arial" w:eastAsia="仿宋_GB2312" w:cs="Arial"/>
          <w:sz w:val="32"/>
          <w:szCs w:val="32"/>
        </w:rPr>
        <w:t>申报企业的注册地和统计地均在龙岗区，行业组织的注册地在龙岗区。</w:t>
      </w:r>
    </w:p>
    <w:p>
      <w:pPr>
        <w:spacing w:line="560" w:lineRule="exact"/>
        <w:ind w:firstLine="640" w:firstLineChars="200"/>
        <w:textAlignment w:val="baseline"/>
        <w:rPr>
          <w:rFonts w:ascii="仿宋_GB2312" w:hAnsi="仿宋_GB2312" w:eastAsia="仿宋_GB2312" w:cs="仿宋_GB2312"/>
          <w:sz w:val="32"/>
          <w:szCs w:val="32"/>
        </w:rPr>
      </w:pPr>
      <w:r>
        <w:rPr>
          <w:rFonts w:ascii="仿宋_GB2312" w:hAnsi="仿宋_GB2312" w:eastAsia="仿宋_GB2312" w:cs="仿宋_GB2312"/>
          <w:sz w:val="32"/>
          <w:szCs w:val="32"/>
        </w:rPr>
        <w:t>2.申报企业、行业组织</w:t>
      </w:r>
      <w:r>
        <w:rPr>
          <w:rFonts w:hint="eastAsia" w:ascii="仿宋_GB2312" w:hAnsi="仿宋_GB2312" w:eastAsia="仿宋_GB2312" w:cs="仿宋_GB2312"/>
          <w:sz w:val="32"/>
          <w:szCs w:val="32"/>
        </w:rPr>
        <w:t>成立时间一年及以上。</w:t>
      </w:r>
    </w:p>
    <w:p>
      <w:pPr>
        <w:spacing w:line="560" w:lineRule="exact"/>
        <w:ind w:firstLine="640" w:firstLineChars="200"/>
        <w:textAlignment w:val="baseline"/>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新迁入龙岗区的企业需将注册地、纳税地迁入龙岗区一年及以上；新迁入龙岗区的行业组织需将注册地迁入龙岗区一年及以上。</w:t>
      </w:r>
    </w:p>
    <w:p>
      <w:pPr>
        <w:spacing w:line="560" w:lineRule="exact"/>
        <w:ind w:firstLine="640" w:firstLineChars="200"/>
        <w:textAlignment w:val="baseline"/>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符合第十四条（一）规定。</w:t>
      </w:r>
    </w:p>
    <w:p>
      <w:pPr>
        <w:pStyle w:val="9"/>
        <w:shd w:val="clear" w:color="auto" w:fill="FFFFFF"/>
        <w:snapToGrid w:val="0"/>
        <w:spacing w:before="0" w:beforeAutospacing="0" w:after="0" w:afterAutospacing="0" w:line="560" w:lineRule="exact"/>
        <w:ind w:firstLine="643" w:firstLineChars="200"/>
        <w:textAlignment w:val="baseline"/>
        <w:rPr>
          <w:rFonts w:ascii="仿宋" w:hAnsi="仿宋" w:eastAsia="仿宋" w:cs="仿宋"/>
          <w:b/>
          <w:bCs/>
          <w:color w:val="auto"/>
          <w:kern w:val="2"/>
          <w:sz w:val="32"/>
          <w:szCs w:val="32"/>
        </w:rPr>
      </w:pPr>
      <w:r>
        <w:rPr>
          <w:rFonts w:hint="eastAsia" w:ascii="仿宋" w:hAnsi="仿宋" w:eastAsia="仿宋" w:cs="仿宋"/>
          <w:b/>
          <w:bCs/>
          <w:color w:val="auto"/>
          <w:kern w:val="2"/>
          <w:sz w:val="32"/>
          <w:szCs w:val="32"/>
        </w:rPr>
        <w:t>（十</w:t>
      </w:r>
      <w:r>
        <w:rPr>
          <w:rFonts w:ascii="仿宋" w:hAnsi="仿宋" w:eastAsia="仿宋" w:cs="仿宋"/>
          <w:b/>
          <w:bCs/>
          <w:color w:val="auto"/>
          <w:kern w:val="2"/>
          <w:sz w:val="32"/>
          <w:szCs w:val="32"/>
        </w:rPr>
        <w:t>一</w:t>
      </w:r>
      <w:r>
        <w:rPr>
          <w:rFonts w:hint="eastAsia" w:ascii="仿宋" w:hAnsi="仿宋" w:eastAsia="仿宋" w:cs="仿宋"/>
          <w:b/>
          <w:bCs/>
          <w:color w:val="auto"/>
          <w:kern w:val="2"/>
          <w:sz w:val="32"/>
          <w:szCs w:val="32"/>
        </w:rPr>
        <w:t>）获得上级部门支持的展会扶持项目</w:t>
      </w:r>
    </w:p>
    <w:p>
      <w:pPr>
        <w:spacing w:line="560" w:lineRule="exact"/>
        <w:ind w:firstLine="640" w:firstLineChars="200"/>
        <w:textAlignment w:val="baseline"/>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申报企业的注册地和</w:t>
      </w:r>
      <w:r>
        <w:rPr>
          <w:rFonts w:hint="eastAsia" w:ascii="仿宋_GB2312" w:hAnsi="Arial" w:eastAsia="仿宋_GB2312" w:cs="Arial"/>
          <w:sz w:val="32"/>
          <w:szCs w:val="32"/>
        </w:rPr>
        <w:t>统计</w:t>
      </w:r>
      <w:r>
        <w:rPr>
          <w:rFonts w:hint="eastAsia" w:ascii="仿宋_GB2312" w:hAnsi="仿宋_GB2312" w:eastAsia="仿宋_GB2312" w:cs="仿宋_GB2312"/>
          <w:sz w:val="32"/>
          <w:szCs w:val="32"/>
        </w:rPr>
        <w:t>地均在龙岗区。</w:t>
      </w:r>
    </w:p>
    <w:p>
      <w:pPr>
        <w:spacing w:line="560" w:lineRule="exact"/>
        <w:ind w:firstLine="640" w:firstLineChars="200"/>
        <w:textAlignment w:val="baseline"/>
        <w:rPr>
          <w:rFonts w:ascii="仿宋_GB2312" w:hAnsi="仿宋_GB2312" w:eastAsia="仿宋_GB2312" w:cs="仿宋_GB2312"/>
          <w:sz w:val="32"/>
          <w:szCs w:val="32"/>
        </w:rPr>
      </w:pPr>
      <w:r>
        <w:rPr>
          <w:rFonts w:ascii="仿宋_GB2312" w:hAnsi="仿宋_GB2312" w:eastAsia="仿宋_GB2312" w:cs="仿宋_GB2312"/>
          <w:sz w:val="32"/>
          <w:szCs w:val="32"/>
        </w:rPr>
        <w:t>2.申报企业</w:t>
      </w:r>
      <w:r>
        <w:rPr>
          <w:rFonts w:hint="eastAsia" w:ascii="仿宋_GB2312" w:hAnsi="仿宋_GB2312" w:eastAsia="仿宋_GB2312" w:cs="仿宋_GB2312"/>
          <w:sz w:val="32"/>
          <w:szCs w:val="32"/>
        </w:rPr>
        <w:t>成立时间一年及以上。</w:t>
      </w:r>
    </w:p>
    <w:p>
      <w:pPr>
        <w:spacing w:line="560" w:lineRule="exact"/>
        <w:ind w:firstLine="640" w:firstLineChars="200"/>
        <w:textAlignment w:val="baseline"/>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新迁入龙岗区的企业需将注册地、纳税地迁入龙岗区一年及以上。</w:t>
      </w:r>
    </w:p>
    <w:p>
      <w:pPr>
        <w:spacing w:line="560" w:lineRule="exact"/>
        <w:ind w:firstLine="640" w:firstLineChars="200"/>
        <w:textAlignment w:val="baseline"/>
        <w:rPr>
          <w:rFonts w:ascii="仿宋_GB2312" w:hAnsi="仿宋_GB2312" w:eastAsia="仿宋_GB2312" w:cs="仿宋_GB2312"/>
          <w:kern w:val="0"/>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符合第十五条（一）规定</w:t>
      </w:r>
      <w:r>
        <w:rPr>
          <w:rFonts w:hint="eastAsia" w:ascii="仿宋_GB2312" w:hAnsi="仿宋_GB2312" w:eastAsia="仿宋_GB2312" w:cs="仿宋_GB2312"/>
          <w:kern w:val="0"/>
          <w:sz w:val="32"/>
          <w:szCs w:val="32"/>
        </w:rPr>
        <w:t>。</w:t>
      </w:r>
    </w:p>
    <w:p>
      <w:pPr>
        <w:pStyle w:val="9"/>
        <w:shd w:val="clear" w:color="auto" w:fill="FFFFFF"/>
        <w:adjustRightInd w:val="0"/>
        <w:snapToGrid w:val="0"/>
        <w:spacing w:before="0" w:beforeAutospacing="0" w:after="0" w:afterAutospacing="0" w:line="560" w:lineRule="exact"/>
        <w:ind w:firstLine="640"/>
        <w:jc w:val="center"/>
        <w:rPr>
          <w:rFonts w:ascii="黑体" w:hAnsi="黑体" w:eastAsia="黑体" w:cs="黑体"/>
          <w:color w:val="auto"/>
          <w:sz w:val="32"/>
          <w:szCs w:val="32"/>
        </w:rPr>
      </w:pPr>
      <w:r>
        <w:rPr>
          <w:rFonts w:hint="eastAsia" w:ascii="黑体" w:hAnsi="黑体" w:eastAsia="黑体" w:cs="黑体"/>
          <w:color w:val="auto"/>
          <w:sz w:val="32"/>
          <w:szCs w:val="32"/>
        </w:rPr>
        <w:t>第四章</w:t>
      </w:r>
      <w:r>
        <w:rPr>
          <w:rFonts w:ascii="黑体" w:hAnsi="黑体" w:eastAsia="黑体" w:cs="黑体"/>
          <w:color w:val="auto"/>
          <w:sz w:val="32"/>
          <w:szCs w:val="32"/>
        </w:rPr>
        <w:t xml:space="preserve"> </w:t>
      </w:r>
      <w:r>
        <w:rPr>
          <w:rFonts w:hint="eastAsia" w:ascii="黑体" w:hAnsi="黑体" w:eastAsia="黑体" w:cs="黑体"/>
          <w:color w:val="auto"/>
          <w:sz w:val="32"/>
          <w:szCs w:val="32"/>
        </w:rPr>
        <w:t>项目申报和审核</w:t>
      </w:r>
    </w:p>
    <w:p>
      <w:pPr>
        <w:pStyle w:val="2"/>
        <w:adjustRightInd w:val="0"/>
        <w:snapToGrid w:val="0"/>
        <w:spacing w:line="560" w:lineRule="exact"/>
        <w:ind w:firstLine="660"/>
        <w:rPr>
          <w:rFonts w:ascii="仿宋_GB2312" w:hAnsi="仿宋_GB2312" w:eastAsia="仿宋_GB2312" w:cs="仿宋_GB2312"/>
          <w:sz w:val="32"/>
          <w:szCs w:val="32"/>
        </w:rPr>
      </w:pPr>
      <w:r>
        <w:rPr>
          <w:rFonts w:hint="eastAsia" w:ascii="仿宋" w:hAnsi="仿宋" w:eastAsia="仿宋" w:cs="Arial"/>
          <w:b/>
          <w:bCs/>
          <w:sz w:val="32"/>
          <w:szCs w:val="32"/>
        </w:rPr>
        <w:t>第</w:t>
      </w:r>
      <w:r>
        <w:rPr>
          <w:rFonts w:ascii="仿宋" w:hAnsi="仿宋" w:eastAsia="仿宋" w:cs="Arial"/>
          <w:b/>
          <w:bCs/>
          <w:sz w:val="32"/>
          <w:szCs w:val="32"/>
        </w:rPr>
        <w:t>十七</w:t>
      </w:r>
      <w:r>
        <w:rPr>
          <w:rFonts w:hint="eastAsia" w:ascii="仿宋" w:hAnsi="仿宋" w:eastAsia="仿宋" w:cs="Arial"/>
          <w:b/>
          <w:bCs/>
          <w:sz w:val="32"/>
          <w:szCs w:val="32"/>
        </w:rPr>
        <w:t>条</w:t>
      </w:r>
      <w:r>
        <w:rPr>
          <w:rFonts w:ascii="仿宋" w:hAnsi="仿宋" w:eastAsia="仿宋" w:cs="Arial"/>
          <w:sz w:val="32"/>
          <w:szCs w:val="32"/>
        </w:rPr>
        <w:t xml:space="preserve"> </w:t>
      </w:r>
      <w:r>
        <w:rPr>
          <w:rFonts w:hint="eastAsia" w:ascii="仿宋_GB2312" w:hAnsi="仿宋_GB2312" w:eastAsia="仿宋_GB2312" w:cs="仿宋_GB2312"/>
          <w:sz w:val="32"/>
          <w:szCs w:val="32"/>
        </w:rPr>
        <w:t>区工业和信息化局根据本实施细则制定年度扶持计划项目申请指南（通知），在龙岗政府在线、区工业和信息化局网站发布</w:t>
      </w:r>
      <w:r>
        <w:rPr>
          <w:rFonts w:ascii="仿宋_GB2312" w:hAnsi="仿宋_GB2312" w:eastAsia="仿宋_GB2312" w:cs="仿宋_GB2312"/>
          <w:sz w:val="32"/>
          <w:szCs w:val="32"/>
        </w:rPr>
        <w:t>,明确受理时间、申报材料要求等内容。</w:t>
      </w:r>
    </w:p>
    <w:p>
      <w:pPr>
        <w:pStyle w:val="2"/>
        <w:adjustRightInd w:val="0"/>
        <w:snapToGrid w:val="0"/>
        <w:spacing w:line="560" w:lineRule="exact"/>
        <w:ind w:firstLine="660"/>
        <w:rPr>
          <w:rFonts w:ascii="仿宋_GB2312" w:hAnsi="仿宋_GB2312" w:eastAsia="仿宋_GB2312" w:cs="仿宋_GB2312"/>
          <w:sz w:val="32"/>
          <w:szCs w:val="32"/>
        </w:rPr>
      </w:pPr>
      <w:r>
        <w:rPr>
          <w:rFonts w:hint="eastAsia" w:ascii="仿宋" w:hAnsi="仿宋" w:eastAsia="仿宋" w:cs="Arial"/>
          <w:b/>
          <w:bCs/>
          <w:sz w:val="32"/>
          <w:szCs w:val="32"/>
        </w:rPr>
        <w:t>第</w:t>
      </w:r>
      <w:r>
        <w:rPr>
          <w:rFonts w:ascii="仿宋" w:hAnsi="仿宋" w:eastAsia="仿宋" w:cs="Arial"/>
          <w:b/>
          <w:bCs/>
          <w:sz w:val="32"/>
          <w:szCs w:val="32"/>
        </w:rPr>
        <w:t>十八</w:t>
      </w:r>
      <w:r>
        <w:rPr>
          <w:rFonts w:hint="eastAsia" w:ascii="仿宋" w:hAnsi="仿宋" w:eastAsia="仿宋" w:cs="Arial"/>
          <w:b/>
          <w:bCs/>
          <w:sz w:val="32"/>
          <w:szCs w:val="32"/>
        </w:rPr>
        <w:t>条</w:t>
      </w:r>
      <w:r>
        <w:rPr>
          <w:rFonts w:ascii="仿宋" w:hAnsi="仿宋" w:eastAsia="仿宋" w:cs="Arial"/>
          <w:sz w:val="32"/>
          <w:szCs w:val="32"/>
        </w:rPr>
        <w:t xml:space="preserve"> </w:t>
      </w:r>
      <w:r>
        <w:rPr>
          <w:rFonts w:hint="eastAsia" w:ascii="仿宋_GB2312" w:hAnsi="仿宋_GB2312" w:eastAsia="仿宋_GB2312" w:cs="仿宋_GB2312"/>
          <w:sz w:val="32"/>
          <w:szCs w:val="32"/>
        </w:rPr>
        <w:t>项目单位根据申请指南要求，在规定时间内如实填报项目信息，提交相关材料。</w:t>
      </w:r>
    </w:p>
    <w:p>
      <w:pPr>
        <w:pStyle w:val="2"/>
        <w:adjustRightInd w:val="0"/>
        <w:snapToGrid w:val="0"/>
        <w:spacing w:line="560" w:lineRule="exact"/>
        <w:ind w:firstLine="660"/>
        <w:rPr>
          <w:rFonts w:ascii="仿宋" w:hAnsi="仿宋" w:eastAsia="仿宋" w:cs="Arial"/>
          <w:sz w:val="32"/>
          <w:szCs w:val="32"/>
        </w:rPr>
      </w:pPr>
      <w:r>
        <w:rPr>
          <w:rFonts w:hint="eastAsia" w:ascii="仿宋" w:hAnsi="仿宋" w:eastAsia="仿宋" w:cs="Arial"/>
          <w:b/>
          <w:bCs/>
          <w:sz w:val="32"/>
          <w:szCs w:val="32"/>
        </w:rPr>
        <w:t>第</w:t>
      </w:r>
      <w:r>
        <w:rPr>
          <w:rFonts w:ascii="仿宋" w:hAnsi="仿宋" w:eastAsia="仿宋" w:cs="Arial"/>
          <w:b/>
          <w:bCs/>
          <w:sz w:val="32"/>
          <w:szCs w:val="32"/>
        </w:rPr>
        <w:t>十九</w:t>
      </w:r>
      <w:r>
        <w:rPr>
          <w:rFonts w:hint="eastAsia" w:ascii="仿宋" w:hAnsi="仿宋" w:eastAsia="仿宋" w:cs="Arial"/>
          <w:b/>
          <w:bCs/>
          <w:sz w:val="32"/>
          <w:szCs w:val="32"/>
        </w:rPr>
        <w:t>条</w:t>
      </w:r>
      <w:r>
        <w:rPr>
          <w:rFonts w:ascii="仿宋" w:hAnsi="仿宋" w:eastAsia="仿宋" w:cs="Arial"/>
          <w:sz w:val="32"/>
          <w:szCs w:val="32"/>
        </w:rPr>
        <w:t xml:space="preserve"> </w:t>
      </w:r>
      <w:r>
        <w:rPr>
          <w:rFonts w:hint="eastAsia" w:ascii="仿宋_GB2312" w:hAnsi="仿宋_GB2312" w:eastAsia="仿宋_GB2312" w:cs="仿宋_GB2312"/>
          <w:sz w:val="32"/>
          <w:szCs w:val="32"/>
        </w:rPr>
        <w:t>区工业和信息化局组织开展对申报项目进行审核，并征求各有关单位意见，进行项目重复性核查以及申报单位注册地、统计地、是否列入严重失信主体名单且在有效期内等情况。</w:t>
      </w:r>
    </w:p>
    <w:p>
      <w:pPr>
        <w:pStyle w:val="2"/>
        <w:adjustRightInd w:val="0"/>
        <w:snapToGrid w:val="0"/>
        <w:spacing w:line="560" w:lineRule="exact"/>
        <w:ind w:firstLine="660"/>
        <w:rPr>
          <w:rFonts w:ascii="仿宋" w:hAnsi="仿宋" w:eastAsia="仿宋" w:cs="Arial"/>
          <w:sz w:val="32"/>
          <w:szCs w:val="32"/>
        </w:rPr>
      </w:pPr>
      <w:r>
        <w:rPr>
          <w:rFonts w:hint="eastAsia" w:ascii="仿宋" w:hAnsi="仿宋" w:eastAsia="仿宋" w:cs="Arial"/>
          <w:b/>
          <w:bCs/>
          <w:sz w:val="32"/>
          <w:szCs w:val="32"/>
        </w:rPr>
        <w:t>第</w:t>
      </w:r>
      <w:r>
        <w:rPr>
          <w:rFonts w:ascii="仿宋" w:hAnsi="仿宋" w:eastAsia="仿宋" w:cs="Arial"/>
          <w:b/>
          <w:bCs/>
          <w:sz w:val="32"/>
          <w:szCs w:val="32"/>
        </w:rPr>
        <w:t>二十</w:t>
      </w:r>
      <w:r>
        <w:rPr>
          <w:rFonts w:hint="eastAsia" w:ascii="仿宋" w:hAnsi="仿宋" w:eastAsia="仿宋" w:cs="Arial"/>
          <w:b/>
          <w:bCs/>
          <w:sz w:val="32"/>
          <w:szCs w:val="32"/>
        </w:rPr>
        <w:t>条</w:t>
      </w:r>
      <w:r>
        <w:rPr>
          <w:rFonts w:ascii="仿宋" w:hAnsi="仿宋" w:eastAsia="仿宋" w:cs="Arial"/>
          <w:sz w:val="32"/>
          <w:szCs w:val="32"/>
        </w:rPr>
        <w:t xml:space="preserve"> </w:t>
      </w:r>
      <w:r>
        <w:rPr>
          <w:rFonts w:hint="eastAsia" w:ascii="仿宋_GB2312" w:hAnsi="仿宋_GB2312" w:eastAsia="仿宋_GB2312" w:cs="仿宋_GB2312"/>
          <w:sz w:val="32"/>
          <w:szCs w:val="32"/>
        </w:rPr>
        <w:t>区工业和信息化局对项目进行材料审核，可委托第三方专业服务机构组织开展专家评审和专项审计等相关工作</w:t>
      </w:r>
      <w:r>
        <w:rPr>
          <w:rFonts w:ascii="仿宋_GB2312" w:hAnsi="仿宋_GB2312" w:eastAsia="仿宋_GB2312" w:cs="仿宋_GB2312"/>
          <w:sz w:val="32"/>
          <w:szCs w:val="32"/>
        </w:rPr>
        <w:t>,第三方专业服务机构向区工业和信息化局提交专家评审、专项审计报告。</w:t>
      </w:r>
    </w:p>
    <w:p>
      <w:pPr>
        <w:pStyle w:val="2"/>
        <w:adjustRightInd w:val="0"/>
        <w:snapToGrid w:val="0"/>
        <w:spacing w:line="560" w:lineRule="exact"/>
        <w:ind w:firstLine="660"/>
        <w:rPr>
          <w:rFonts w:ascii="仿宋" w:hAnsi="仿宋" w:eastAsia="仿宋" w:cs="Arial"/>
          <w:sz w:val="32"/>
          <w:szCs w:val="32"/>
        </w:rPr>
      </w:pPr>
      <w:r>
        <w:rPr>
          <w:rFonts w:hint="eastAsia" w:ascii="仿宋" w:hAnsi="仿宋" w:eastAsia="仿宋" w:cs="Arial"/>
          <w:b/>
          <w:bCs/>
          <w:sz w:val="32"/>
          <w:szCs w:val="32"/>
        </w:rPr>
        <w:t>第</w:t>
      </w:r>
      <w:r>
        <w:rPr>
          <w:rFonts w:ascii="仿宋" w:hAnsi="仿宋" w:eastAsia="仿宋" w:cs="Arial"/>
          <w:b/>
          <w:bCs/>
          <w:sz w:val="32"/>
          <w:szCs w:val="32"/>
        </w:rPr>
        <w:t>二十一</w:t>
      </w:r>
      <w:r>
        <w:rPr>
          <w:rFonts w:hint="eastAsia" w:ascii="仿宋" w:hAnsi="仿宋" w:eastAsia="仿宋" w:cs="Arial"/>
          <w:b/>
          <w:bCs/>
          <w:sz w:val="32"/>
          <w:szCs w:val="32"/>
        </w:rPr>
        <w:t>条</w:t>
      </w:r>
      <w:r>
        <w:rPr>
          <w:rFonts w:ascii="仿宋" w:hAnsi="仿宋" w:eastAsia="仿宋" w:cs="Arial"/>
          <w:sz w:val="32"/>
          <w:szCs w:val="32"/>
        </w:rPr>
        <w:t xml:space="preserve"> </w:t>
      </w:r>
      <w:r>
        <w:rPr>
          <w:rFonts w:hint="eastAsia" w:ascii="仿宋_GB2312" w:hAnsi="仿宋_GB2312" w:eastAsia="仿宋_GB2312" w:cs="仿宋_GB2312"/>
          <w:sz w:val="32"/>
          <w:szCs w:val="32"/>
        </w:rPr>
        <w:t>区工业和信息化局根据年度资金安排，结合项目专家评审、专项审计结果等情况，编制资金扶持计划，确定拟扶持项目名单和扶持金额。</w:t>
      </w:r>
    </w:p>
    <w:p>
      <w:pPr>
        <w:adjustRightInd w:val="0"/>
        <w:snapToGrid w:val="0"/>
        <w:spacing w:line="560" w:lineRule="exact"/>
        <w:ind w:firstLine="645"/>
        <w:rPr>
          <w:rFonts w:ascii="仿宋" w:hAnsi="仿宋" w:eastAsia="仿宋"/>
          <w:sz w:val="32"/>
          <w:szCs w:val="32"/>
        </w:rPr>
      </w:pPr>
      <w:r>
        <w:rPr>
          <w:rFonts w:hint="eastAsia" w:ascii="仿宋" w:hAnsi="仿宋" w:eastAsia="仿宋" w:cs="Arial"/>
          <w:b/>
          <w:bCs/>
          <w:sz w:val="32"/>
          <w:szCs w:val="32"/>
        </w:rPr>
        <w:t>第</w:t>
      </w:r>
      <w:r>
        <w:rPr>
          <w:rFonts w:ascii="仿宋" w:hAnsi="仿宋" w:eastAsia="仿宋" w:cs="Arial"/>
          <w:b/>
          <w:bCs/>
          <w:sz w:val="32"/>
          <w:szCs w:val="32"/>
        </w:rPr>
        <w:t>二十三</w:t>
      </w:r>
      <w:r>
        <w:rPr>
          <w:rFonts w:hint="eastAsia" w:ascii="仿宋" w:hAnsi="仿宋" w:eastAsia="仿宋" w:cs="Arial"/>
          <w:b/>
          <w:bCs/>
          <w:sz w:val="32"/>
          <w:szCs w:val="32"/>
        </w:rPr>
        <w:t>条</w:t>
      </w:r>
      <w:r>
        <w:rPr>
          <w:rFonts w:ascii="仿宋" w:hAnsi="仿宋" w:eastAsia="仿宋" w:cs="Arial"/>
          <w:sz w:val="32"/>
          <w:szCs w:val="32"/>
        </w:rPr>
        <w:t xml:space="preserve"> </w:t>
      </w:r>
      <w:r>
        <w:rPr>
          <w:rFonts w:hint="eastAsia" w:ascii="仿宋_GB2312" w:hAnsi="仿宋_GB2312" w:eastAsia="仿宋_GB2312" w:cs="仿宋_GB2312"/>
          <w:sz w:val="32"/>
          <w:szCs w:val="32"/>
        </w:rPr>
        <w:t>审核通过的拟扶持项目按规定在龙岗政府在线和区工业和信息化局网站进行公示，公示时间为</w:t>
      </w:r>
      <w:r>
        <w:rPr>
          <w:rFonts w:ascii="仿宋_GB2312" w:hAnsi="仿宋_GB2312" w:eastAsia="仿宋_GB2312" w:cs="仿宋_GB2312"/>
          <w:sz w:val="32"/>
          <w:szCs w:val="32"/>
        </w:rPr>
        <w:t>5个工作日。对公示内容有异议的，可在公示期内向区工业和信息化局书面提出。对于公示有异议的，由区工业和信息化局进行调查或组织重审，不予扶持的向申报单位反馈理由。</w:t>
      </w:r>
    </w:p>
    <w:p>
      <w:pPr>
        <w:pStyle w:val="2"/>
        <w:spacing w:line="560" w:lineRule="exact"/>
      </w:pPr>
    </w:p>
    <w:p>
      <w:pPr>
        <w:pStyle w:val="2"/>
        <w:spacing w:line="560" w:lineRule="exact"/>
      </w:pPr>
    </w:p>
    <w:p>
      <w:pPr>
        <w:pStyle w:val="2"/>
        <w:adjustRightInd w:val="0"/>
        <w:snapToGrid w:val="0"/>
        <w:spacing w:line="560" w:lineRule="exact"/>
        <w:jc w:val="center"/>
        <w:rPr>
          <w:rFonts w:ascii="黑体" w:hAnsi="黑体" w:eastAsia="黑体" w:cs="黑体"/>
          <w:sz w:val="32"/>
          <w:szCs w:val="32"/>
        </w:rPr>
      </w:pPr>
      <w:r>
        <w:rPr>
          <w:rFonts w:hint="eastAsia" w:ascii="黑体" w:hAnsi="黑体" w:eastAsia="黑体" w:cs="黑体"/>
          <w:sz w:val="32"/>
          <w:szCs w:val="32"/>
        </w:rPr>
        <w:t>第五章</w:t>
      </w:r>
      <w:r>
        <w:rPr>
          <w:rFonts w:ascii="黑体" w:hAnsi="黑体" w:eastAsia="黑体" w:cs="黑体"/>
          <w:sz w:val="32"/>
          <w:szCs w:val="32"/>
        </w:rPr>
        <w:t xml:space="preserve"> </w:t>
      </w:r>
      <w:r>
        <w:rPr>
          <w:rFonts w:hint="eastAsia" w:ascii="黑体" w:hAnsi="黑体" w:eastAsia="黑体" w:cs="黑体"/>
          <w:sz w:val="32"/>
          <w:szCs w:val="32"/>
        </w:rPr>
        <w:t>附则</w:t>
      </w:r>
    </w:p>
    <w:p>
      <w:pPr>
        <w:pStyle w:val="2"/>
        <w:adjustRightInd w:val="0"/>
        <w:snapToGrid w:val="0"/>
        <w:spacing w:line="560" w:lineRule="exact"/>
        <w:ind w:firstLine="643" w:firstLineChars="200"/>
        <w:jc w:val="left"/>
        <w:rPr>
          <w:rFonts w:ascii="仿宋_GB2312" w:hAnsi="仿宋_GB2312" w:eastAsia="仿宋_GB2312" w:cs="仿宋_GB2312"/>
          <w:sz w:val="32"/>
          <w:szCs w:val="32"/>
        </w:rPr>
      </w:pPr>
      <w:r>
        <w:rPr>
          <w:rFonts w:hint="eastAsia" w:ascii="仿宋" w:hAnsi="仿宋" w:eastAsia="仿宋" w:cs="Arial"/>
          <w:b/>
          <w:bCs/>
          <w:sz w:val="32"/>
          <w:szCs w:val="32"/>
        </w:rPr>
        <w:t>第</w:t>
      </w:r>
      <w:r>
        <w:rPr>
          <w:rFonts w:ascii="仿宋" w:hAnsi="仿宋" w:eastAsia="仿宋" w:cs="Arial"/>
          <w:b/>
          <w:bCs/>
          <w:sz w:val="32"/>
          <w:szCs w:val="32"/>
        </w:rPr>
        <w:t>二十二</w:t>
      </w:r>
      <w:r>
        <w:rPr>
          <w:rFonts w:hint="eastAsia" w:ascii="仿宋" w:hAnsi="仿宋" w:eastAsia="仿宋" w:cs="Arial"/>
          <w:b/>
          <w:bCs/>
          <w:sz w:val="32"/>
          <w:szCs w:val="32"/>
        </w:rPr>
        <w:t>条</w:t>
      </w:r>
      <w:r>
        <w:rPr>
          <w:rFonts w:ascii="仿宋" w:hAnsi="仿宋" w:eastAsia="仿宋" w:cs="Arial"/>
          <w:sz w:val="32"/>
          <w:szCs w:val="32"/>
        </w:rPr>
        <w:t xml:space="preserve"> </w:t>
      </w:r>
      <w:r>
        <w:rPr>
          <w:rFonts w:hint="eastAsia" w:ascii="仿宋_GB2312" w:hAnsi="仿宋_GB2312" w:eastAsia="仿宋_GB2312" w:cs="仿宋_GB2312"/>
          <w:sz w:val="32"/>
          <w:szCs w:val="32"/>
        </w:rPr>
        <w:t>本实施细则由区工业和信息化局负责解释。</w:t>
      </w:r>
    </w:p>
    <w:p>
      <w:pPr>
        <w:spacing w:line="560" w:lineRule="exact"/>
        <w:ind w:firstLine="640"/>
        <w:rPr>
          <w:rFonts w:ascii="仿宋" w:hAnsi="仿宋" w:eastAsia="仿宋" w:cs="Arial"/>
          <w:sz w:val="32"/>
          <w:szCs w:val="32"/>
        </w:rPr>
      </w:pPr>
      <w:r>
        <w:rPr>
          <w:rFonts w:hint="eastAsia" w:ascii="仿宋" w:hAnsi="仿宋" w:eastAsia="仿宋" w:cs="Arial"/>
          <w:b/>
          <w:bCs/>
          <w:sz w:val="32"/>
          <w:szCs w:val="32"/>
        </w:rPr>
        <w:t>第</w:t>
      </w:r>
      <w:r>
        <w:rPr>
          <w:rFonts w:ascii="仿宋" w:hAnsi="仿宋" w:eastAsia="仿宋" w:cs="Arial"/>
          <w:b/>
          <w:bCs/>
          <w:sz w:val="32"/>
          <w:szCs w:val="32"/>
        </w:rPr>
        <w:t>二十三</w:t>
      </w:r>
      <w:r>
        <w:rPr>
          <w:rFonts w:hint="eastAsia" w:ascii="仿宋" w:hAnsi="仿宋" w:eastAsia="仿宋" w:cs="Arial"/>
          <w:b/>
          <w:bCs/>
          <w:sz w:val="32"/>
          <w:szCs w:val="32"/>
        </w:rPr>
        <w:t>条</w:t>
      </w:r>
      <w:r>
        <w:rPr>
          <w:rFonts w:ascii="仿宋" w:hAnsi="仿宋" w:eastAsia="仿宋" w:cs="Arial"/>
          <w:sz w:val="32"/>
          <w:szCs w:val="32"/>
        </w:rPr>
        <w:t xml:space="preserve"> </w:t>
      </w:r>
      <w:r>
        <w:rPr>
          <w:rFonts w:hint="eastAsia" w:ascii="仿宋_GB2312" w:hAnsi="仿宋_GB2312" w:eastAsia="仿宋_GB2312" w:cs="仿宋_GB2312"/>
          <w:sz w:val="32"/>
          <w:szCs w:val="32"/>
        </w:rPr>
        <w:t>本实施细则的资助额，一律向下取整到元</w:t>
      </w:r>
      <w:r>
        <w:rPr>
          <w:rFonts w:hint="eastAsia" w:ascii="仿宋" w:hAnsi="仿宋" w:eastAsia="仿宋" w:cs="Arial"/>
          <w:sz w:val="32"/>
          <w:szCs w:val="32"/>
        </w:rPr>
        <w:t>。</w:t>
      </w:r>
    </w:p>
    <w:p>
      <w:pPr>
        <w:spacing w:line="560" w:lineRule="exact"/>
        <w:ind w:firstLine="640"/>
        <w:rPr>
          <w:rFonts w:ascii="仿宋_GB2312" w:hAnsi="Arial" w:eastAsia="仿宋_GB2312" w:cs="Arial"/>
          <w:sz w:val="32"/>
          <w:szCs w:val="32"/>
        </w:rPr>
      </w:pPr>
      <w:r>
        <w:rPr>
          <w:rFonts w:hint="eastAsia" w:ascii="仿宋" w:hAnsi="仿宋" w:eastAsia="仿宋" w:cs="Arial"/>
          <w:b/>
          <w:bCs/>
          <w:sz w:val="32"/>
          <w:szCs w:val="32"/>
        </w:rPr>
        <w:t>第</w:t>
      </w:r>
      <w:r>
        <w:rPr>
          <w:rFonts w:ascii="仿宋" w:hAnsi="仿宋" w:eastAsia="仿宋" w:cs="Arial"/>
          <w:b/>
          <w:bCs/>
          <w:sz w:val="32"/>
          <w:szCs w:val="32"/>
        </w:rPr>
        <w:t>二十四</w:t>
      </w:r>
      <w:r>
        <w:rPr>
          <w:rFonts w:hint="eastAsia" w:ascii="仿宋" w:hAnsi="仿宋" w:eastAsia="仿宋" w:cs="Arial"/>
          <w:b/>
          <w:bCs/>
          <w:sz w:val="32"/>
          <w:szCs w:val="32"/>
        </w:rPr>
        <w:t>条</w:t>
      </w:r>
      <w:r>
        <w:rPr>
          <w:rFonts w:ascii="Arial" w:hAnsi="Arial" w:eastAsia="仿宋" w:cs="Arial"/>
          <w:b/>
          <w:bCs/>
          <w:kern w:val="0"/>
          <w:sz w:val="32"/>
          <w:szCs w:val="32"/>
        </w:rPr>
        <w:t xml:space="preserve"> </w:t>
      </w:r>
      <w:r>
        <w:rPr>
          <w:rFonts w:hint="eastAsia" w:ascii="仿宋_GB2312" w:hAnsi="仿宋_GB2312" w:eastAsia="仿宋_GB2312" w:cs="仿宋_GB2312"/>
          <w:sz w:val="32"/>
          <w:szCs w:val="32"/>
        </w:rPr>
        <w:t>本细则中的日期、比例及金额等，除特别注明外均包括本数</w:t>
      </w:r>
      <w:r>
        <w:rPr>
          <w:rFonts w:ascii="仿宋_GB2312" w:hAnsi="仿宋_GB2312" w:eastAsia="仿宋_GB2312" w:cs="仿宋_GB2312"/>
          <w:sz w:val="32"/>
          <w:szCs w:val="32"/>
        </w:rPr>
        <w:t>。本细则中的年度均指自然年度。</w:t>
      </w:r>
    </w:p>
    <w:p>
      <w:pPr>
        <w:pStyle w:val="2"/>
        <w:adjustRightInd w:val="0"/>
        <w:snapToGrid w:val="0"/>
        <w:spacing w:line="560" w:lineRule="exact"/>
        <w:ind w:firstLine="643" w:firstLineChars="200"/>
        <w:jc w:val="left"/>
        <w:rPr>
          <w:rFonts w:ascii="仿宋" w:hAnsi="仿宋" w:eastAsia="仿宋_GB2312" w:cs="Arial"/>
          <w:sz w:val="32"/>
          <w:szCs w:val="32"/>
        </w:rPr>
      </w:pPr>
      <w:r>
        <w:rPr>
          <w:rFonts w:hint="eastAsia" w:ascii="仿宋" w:hAnsi="仿宋" w:eastAsia="仿宋" w:cs="Arial"/>
          <w:b/>
          <w:bCs/>
          <w:sz w:val="32"/>
          <w:szCs w:val="32"/>
        </w:rPr>
        <w:t>第</w:t>
      </w:r>
      <w:r>
        <w:rPr>
          <w:rFonts w:ascii="仿宋" w:hAnsi="仿宋" w:eastAsia="仿宋" w:cs="Arial"/>
          <w:b/>
          <w:bCs/>
          <w:sz w:val="32"/>
          <w:szCs w:val="32"/>
        </w:rPr>
        <w:t>二十五</w:t>
      </w:r>
      <w:r>
        <w:rPr>
          <w:rFonts w:hint="eastAsia" w:ascii="仿宋" w:hAnsi="仿宋" w:eastAsia="仿宋" w:cs="Arial"/>
          <w:b/>
          <w:bCs/>
          <w:sz w:val="32"/>
          <w:szCs w:val="32"/>
        </w:rPr>
        <w:t>条</w:t>
      </w:r>
      <w:r>
        <w:rPr>
          <w:rFonts w:ascii="仿宋" w:hAnsi="仿宋" w:eastAsia="仿宋" w:cs="Arial"/>
          <w:sz w:val="32"/>
          <w:szCs w:val="32"/>
        </w:rPr>
        <w:t xml:space="preserve"> </w:t>
      </w:r>
      <w:r>
        <w:rPr>
          <w:rFonts w:hint="eastAsia" w:ascii="仿宋_GB2312" w:hAnsi="仿宋_GB2312" w:eastAsia="仿宋_GB2312"/>
          <w:kern w:val="0"/>
          <w:sz w:val="32"/>
          <w:szCs w:val="32"/>
        </w:rPr>
        <w:t>本办法自</w:t>
      </w:r>
      <w:r>
        <w:rPr>
          <w:rFonts w:ascii="仿宋_GB2312" w:hAnsi="仿宋_GB2312" w:eastAsia="仿宋_GB2312"/>
          <w:kern w:val="0"/>
          <w:sz w:val="32"/>
          <w:szCs w:val="32"/>
        </w:rPr>
        <w:t>202X</w:t>
      </w:r>
      <w:r>
        <w:rPr>
          <w:rFonts w:hint="eastAsia" w:ascii="仿宋_GB2312" w:hAnsi="仿宋_GB2312" w:eastAsia="仿宋_GB2312"/>
          <w:kern w:val="0"/>
          <w:sz w:val="32"/>
          <w:szCs w:val="32"/>
        </w:rPr>
        <w:t>年</w:t>
      </w:r>
      <w:r>
        <w:rPr>
          <w:rFonts w:ascii="仿宋_GB2312" w:hAnsi="仿宋_GB2312" w:eastAsia="仿宋_GB2312"/>
          <w:kern w:val="0"/>
          <w:sz w:val="32"/>
          <w:szCs w:val="32"/>
        </w:rPr>
        <w:t>X月X日起施行，有效期5年。</w:t>
      </w:r>
      <w:r>
        <w:rPr>
          <w:rFonts w:hint="eastAsia" w:ascii="仿宋_GB2312" w:hAnsi="仿宋_GB2312" w:eastAsia="仿宋_GB2312" w:cs="仿宋_GB2312"/>
          <w:sz w:val="32"/>
          <w:szCs w:val="32"/>
        </w:rPr>
        <w:t>在有效期内，区工业和信息化局（商务局）可根据实际情况，对本细则进行整体性的修订、调整、发布和实施。</w:t>
      </w:r>
    </w:p>
    <w:p>
      <w:pPr>
        <w:pStyle w:val="2"/>
        <w:adjustRightInd w:val="0"/>
        <w:snapToGrid w:val="0"/>
        <w:spacing w:line="560" w:lineRule="exact"/>
        <w:ind w:firstLine="660"/>
        <w:rPr>
          <w:rFonts w:ascii="仿宋" w:hAnsi="仿宋" w:eastAsia="仿宋" w:cs="Arial"/>
          <w:sz w:val="32"/>
          <w:szCs w:val="32"/>
        </w:rPr>
      </w:pPr>
    </w:p>
    <w:p>
      <w:pPr>
        <w:adjustRightInd w:val="0"/>
        <w:snapToGrid w:val="0"/>
        <w:spacing w:line="560" w:lineRule="exact"/>
      </w:pPr>
    </w:p>
    <w:p>
      <w:pPr>
        <w:adjustRightInd w:val="0"/>
        <w:snapToGrid w:val="0"/>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DF3EA"/>
    <w:multiLevelType w:val="singleLevel"/>
    <w:tmpl w:val="300DF3EA"/>
    <w:lvl w:ilvl="0" w:tentative="0">
      <w:start w:val="1"/>
      <w:numFmt w:val="chineseCounting"/>
      <w:suff w:val="nothing"/>
      <w:lvlText w:val="（%1）"/>
      <w:lvlJc w:val="left"/>
      <w:rPr>
        <w:rFonts w:hint="eastAsia"/>
      </w:rPr>
    </w:lvl>
  </w:abstractNum>
  <w:abstractNum w:abstractNumId="1">
    <w:nsid w:val="600FE3B5"/>
    <w:multiLevelType w:val="singleLevel"/>
    <w:tmpl w:val="600FE3B5"/>
    <w:lvl w:ilvl="0" w:tentative="0">
      <w:start w:val="1"/>
      <w:numFmt w:val="chineseCounting"/>
      <w:suff w:val="space"/>
      <w:lvlText w:val="第%1章"/>
      <w:lvlJc w:val="left"/>
    </w:lvl>
  </w:abstractNum>
  <w:abstractNum w:abstractNumId="2">
    <w:nsid w:val="600FE858"/>
    <w:multiLevelType w:val="singleLevel"/>
    <w:tmpl w:val="600FE858"/>
    <w:lvl w:ilvl="0" w:tentative="0">
      <w:start w:val="1"/>
      <w:numFmt w:val="chineseCounting"/>
      <w:suff w:val="nothing"/>
      <w:lvlText w:val="第%1条"/>
      <w:lvlJc w:val="left"/>
      <w:pPr>
        <w:ind w:left="-10"/>
      </w:pPr>
      <w:rPr>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4E"/>
    <w:rsid w:val="00000563"/>
    <w:rsid w:val="00017AFD"/>
    <w:rsid w:val="0002649C"/>
    <w:rsid w:val="00053883"/>
    <w:rsid w:val="0005599B"/>
    <w:rsid w:val="00061238"/>
    <w:rsid w:val="00062D5E"/>
    <w:rsid w:val="000651A5"/>
    <w:rsid w:val="00067183"/>
    <w:rsid w:val="00067E7F"/>
    <w:rsid w:val="000710F1"/>
    <w:rsid w:val="00072036"/>
    <w:rsid w:val="00093B27"/>
    <w:rsid w:val="000A19EC"/>
    <w:rsid w:val="000A5895"/>
    <w:rsid w:val="000B577D"/>
    <w:rsid w:val="000B5AA5"/>
    <w:rsid w:val="000C712C"/>
    <w:rsid w:val="000C7DEB"/>
    <w:rsid w:val="000E1749"/>
    <w:rsid w:val="000E4427"/>
    <w:rsid w:val="000E45D7"/>
    <w:rsid w:val="000E5DA9"/>
    <w:rsid w:val="000E7E17"/>
    <w:rsid w:val="000F47DD"/>
    <w:rsid w:val="001069C1"/>
    <w:rsid w:val="00111184"/>
    <w:rsid w:val="00113F31"/>
    <w:rsid w:val="0011447A"/>
    <w:rsid w:val="00116386"/>
    <w:rsid w:val="00121F0D"/>
    <w:rsid w:val="00122D0E"/>
    <w:rsid w:val="0012410C"/>
    <w:rsid w:val="001243BB"/>
    <w:rsid w:val="00126CFC"/>
    <w:rsid w:val="0013568E"/>
    <w:rsid w:val="00145413"/>
    <w:rsid w:val="00154FD0"/>
    <w:rsid w:val="001627F4"/>
    <w:rsid w:val="00172556"/>
    <w:rsid w:val="001809E9"/>
    <w:rsid w:val="00182FB6"/>
    <w:rsid w:val="00183427"/>
    <w:rsid w:val="00194434"/>
    <w:rsid w:val="001B565B"/>
    <w:rsid w:val="001C76C1"/>
    <w:rsid w:val="002032D1"/>
    <w:rsid w:val="00211F56"/>
    <w:rsid w:val="00213AC2"/>
    <w:rsid w:val="0022100E"/>
    <w:rsid w:val="00222112"/>
    <w:rsid w:val="00231808"/>
    <w:rsid w:val="00233B80"/>
    <w:rsid w:val="002408A0"/>
    <w:rsid w:val="00246163"/>
    <w:rsid w:val="0025649C"/>
    <w:rsid w:val="00262C3D"/>
    <w:rsid w:val="0027059F"/>
    <w:rsid w:val="002764C9"/>
    <w:rsid w:val="002825CD"/>
    <w:rsid w:val="00293278"/>
    <w:rsid w:val="002959B7"/>
    <w:rsid w:val="002B2597"/>
    <w:rsid w:val="002B2EB6"/>
    <w:rsid w:val="002C00B7"/>
    <w:rsid w:val="002C4C1C"/>
    <w:rsid w:val="002D36DA"/>
    <w:rsid w:val="002D4115"/>
    <w:rsid w:val="002F28E2"/>
    <w:rsid w:val="002F33E6"/>
    <w:rsid w:val="002F36B1"/>
    <w:rsid w:val="00303E26"/>
    <w:rsid w:val="00307BE6"/>
    <w:rsid w:val="00313B7A"/>
    <w:rsid w:val="003156A0"/>
    <w:rsid w:val="00316267"/>
    <w:rsid w:val="00316655"/>
    <w:rsid w:val="003231C4"/>
    <w:rsid w:val="00343FA4"/>
    <w:rsid w:val="00347AFD"/>
    <w:rsid w:val="0035678E"/>
    <w:rsid w:val="003846D9"/>
    <w:rsid w:val="00385E59"/>
    <w:rsid w:val="003A1483"/>
    <w:rsid w:val="003A4E91"/>
    <w:rsid w:val="003B1A6C"/>
    <w:rsid w:val="003B50BB"/>
    <w:rsid w:val="003C7F74"/>
    <w:rsid w:val="003E0CCF"/>
    <w:rsid w:val="003E4CE5"/>
    <w:rsid w:val="003F1C72"/>
    <w:rsid w:val="0040361B"/>
    <w:rsid w:val="00404067"/>
    <w:rsid w:val="00406E5E"/>
    <w:rsid w:val="00426176"/>
    <w:rsid w:val="00432D64"/>
    <w:rsid w:val="0043616B"/>
    <w:rsid w:val="00437819"/>
    <w:rsid w:val="00441B98"/>
    <w:rsid w:val="00450EEF"/>
    <w:rsid w:val="00456E80"/>
    <w:rsid w:val="0047138D"/>
    <w:rsid w:val="004732DB"/>
    <w:rsid w:val="004819A7"/>
    <w:rsid w:val="00485995"/>
    <w:rsid w:val="00495334"/>
    <w:rsid w:val="004A52D8"/>
    <w:rsid w:val="004B697E"/>
    <w:rsid w:val="004C24D0"/>
    <w:rsid w:val="004C6103"/>
    <w:rsid w:val="004C719C"/>
    <w:rsid w:val="004D20AA"/>
    <w:rsid w:val="004D26B7"/>
    <w:rsid w:val="004E00BF"/>
    <w:rsid w:val="004E2313"/>
    <w:rsid w:val="004E6169"/>
    <w:rsid w:val="004F2CC2"/>
    <w:rsid w:val="005014F0"/>
    <w:rsid w:val="00510346"/>
    <w:rsid w:val="005168DD"/>
    <w:rsid w:val="00516E28"/>
    <w:rsid w:val="0051755A"/>
    <w:rsid w:val="0052041B"/>
    <w:rsid w:val="00554BA0"/>
    <w:rsid w:val="00556881"/>
    <w:rsid w:val="00562B4D"/>
    <w:rsid w:val="00562BFC"/>
    <w:rsid w:val="005837FF"/>
    <w:rsid w:val="0058496B"/>
    <w:rsid w:val="00585C7B"/>
    <w:rsid w:val="005A0438"/>
    <w:rsid w:val="005A57DD"/>
    <w:rsid w:val="005B1AC3"/>
    <w:rsid w:val="005B62FB"/>
    <w:rsid w:val="005C1BFA"/>
    <w:rsid w:val="005D0489"/>
    <w:rsid w:val="005E53B4"/>
    <w:rsid w:val="005E6BC1"/>
    <w:rsid w:val="006111F2"/>
    <w:rsid w:val="006327EE"/>
    <w:rsid w:val="006343B3"/>
    <w:rsid w:val="0063548C"/>
    <w:rsid w:val="00641C3B"/>
    <w:rsid w:val="0065589E"/>
    <w:rsid w:val="00657B9A"/>
    <w:rsid w:val="00667ECF"/>
    <w:rsid w:val="006713C0"/>
    <w:rsid w:val="00673816"/>
    <w:rsid w:val="00693C05"/>
    <w:rsid w:val="006B5B2B"/>
    <w:rsid w:val="006C424C"/>
    <w:rsid w:val="006E3CD1"/>
    <w:rsid w:val="006F4A6B"/>
    <w:rsid w:val="006F597E"/>
    <w:rsid w:val="006F6A4C"/>
    <w:rsid w:val="00731D7E"/>
    <w:rsid w:val="007539B8"/>
    <w:rsid w:val="00755080"/>
    <w:rsid w:val="00756FCF"/>
    <w:rsid w:val="00762E9D"/>
    <w:rsid w:val="00765F81"/>
    <w:rsid w:val="0076674E"/>
    <w:rsid w:val="00771E14"/>
    <w:rsid w:val="007A2EC6"/>
    <w:rsid w:val="007A59FD"/>
    <w:rsid w:val="007B4017"/>
    <w:rsid w:val="007B4908"/>
    <w:rsid w:val="007D62A8"/>
    <w:rsid w:val="007E3EFD"/>
    <w:rsid w:val="007F289F"/>
    <w:rsid w:val="008026C1"/>
    <w:rsid w:val="00810B05"/>
    <w:rsid w:val="008228E1"/>
    <w:rsid w:val="00842595"/>
    <w:rsid w:val="00863337"/>
    <w:rsid w:val="008668EE"/>
    <w:rsid w:val="00880250"/>
    <w:rsid w:val="00881DC3"/>
    <w:rsid w:val="008B0653"/>
    <w:rsid w:val="008B380A"/>
    <w:rsid w:val="008B70D8"/>
    <w:rsid w:val="008C2EEC"/>
    <w:rsid w:val="008C434D"/>
    <w:rsid w:val="008C4867"/>
    <w:rsid w:val="008C594E"/>
    <w:rsid w:val="008D6871"/>
    <w:rsid w:val="008E58E9"/>
    <w:rsid w:val="008F7407"/>
    <w:rsid w:val="008F74C6"/>
    <w:rsid w:val="0092101A"/>
    <w:rsid w:val="00931FB3"/>
    <w:rsid w:val="00940BD7"/>
    <w:rsid w:val="009565AD"/>
    <w:rsid w:val="00971930"/>
    <w:rsid w:val="00992FE8"/>
    <w:rsid w:val="00996141"/>
    <w:rsid w:val="009A2BB6"/>
    <w:rsid w:val="009B0659"/>
    <w:rsid w:val="009B77C4"/>
    <w:rsid w:val="009C00CB"/>
    <w:rsid w:val="009D4BEB"/>
    <w:rsid w:val="009D6A81"/>
    <w:rsid w:val="009E7B64"/>
    <w:rsid w:val="009F2C9E"/>
    <w:rsid w:val="00A014A7"/>
    <w:rsid w:val="00A1757A"/>
    <w:rsid w:val="00A41F02"/>
    <w:rsid w:val="00A5153A"/>
    <w:rsid w:val="00A52381"/>
    <w:rsid w:val="00A64E28"/>
    <w:rsid w:val="00A85244"/>
    <w:rsid w:val="00A865F2"/>
    <w:rsid w:val="00AA564D"/>
    <w:rsid w:val="00AB1979"/>
    <w:rsid w:val="00AB5289"/>
    <w:rsid w:val="00AC221E"/>
    <w:rsid w:val="00AC3251"/>
    <w:rsid w:val="00AE586B"/>
    <w:rsid w:val="00AF30F5"/>
    <w:rsid w:val="00AF421F"/>
    <w:rsid w:val="00B26CFE"/>
    <w:rsid w:val="00B32DEA"/>
    <w:rsid w:val="00B44876"/>
    <w:rsid w:val="00B452D9"/>
    <w:rsid w:val="00B50B79"/>
    <w:rsid w:val="00B52085"/>
    <w:rsid w:val="00B548E4"/>
    <w:rsid w:val="00B76A45"/>
    <w:rsid w:val="00B76B36"/>
    <w:rsid w:val="00B81D0D"/>
    <w:rsid w:val="00B84D8A"/>
    <w:rsid w:val="00BA5399"/>
    <w:rsid w:val="00BB4889"/>
    <w:rsid w:val="00BC1096"/>
    <w:rsid w:val="00BC5301"/>
    <w:rsid w:val="00BD0CCB"/>
    <w:rsid w:val="00BD2446"/>
    <w:rsid w:val="00BD3D22"/>
    <w:rsid w:val="00BD5AA4"/>
    <w:rsid w:val="00BF02CF"/>
    <w:rsid w:val="00BF43E0"/>
    <w:rsid w:val="00BF45B7"/>
    <w:rsid w:val="00C071F3"/>
    <w:rsid w:val="00C10E5C"/>
    <w:rsid w:val="00C11CB2"/>
    <w:rsid w:val="00C308F9"/>
    <w:rsid w:val="00C32BEB"/>
    <w:rsid w:val="00C32E56"/>
    <w:rsid w:val="00C36939"/>
    <w:rsid w:val="00C459A9"/>
    <w:rsid w:val="00C51C0D"/>
    <w:rsid w:val="00C611D7"/>
    <w:rsid w:val="00C727BC"/>
    <w:rsid w:val="00C73ADB"/>
    <w:rsid w:val="00CA5A9C"/>
    <w:rsid w:val="00CB49F1"/>
    <w:rsid w:val="00CB730C"/>
    <w:rsid w:val="00CE7252"/>
    <w:rsid w:val="00CF3011"/>
    <w:rsid w:val="00CF3B13"/>
    <w:rsid w:val="00D16EA7"/>
    <w:rsid w:val="00D17534"/>
    <w:rsid w:val="00D3228B"/>
    <w:rsid w:val="00D42706"/>
    <w:rsid w:val="00D56ADB"/>
    <w:rsid w:val="00D74086"/>
    <w:rsid w:val="00D75A2A"/>
    <w:rsid w:val="00D76406"/>
    <w:rsid w:val="00D765CA"/>
    <w:rsid w:val="00D95EA3"/>
    <w:rsid w:val="00DA05DF"/>
    <w:rsid w:val="00DA5B3C"/>
    <w:rsid w:val="00DF09A4"/>
    <w:rsid w:val="00DF3A80"/>
    <w:rsid w:val="00DF4F7A"/>
    <w:rsid w:val="00DF67ED"/>
    <w:rsid w:val="00E136D4"/>
    <w:rsid w:val="00E1630F"/>
    <w:rsid w:val="00E2480F"/>
    <w:rsid w:val="00E30BBF"/>
    <w:rsid w:val="00E52183"/>
    <w:rsid w:val="00E539D9"/>
    <w:rsid w:val="00E57CDD"/>
    <w:rsid w:val="00E6252B"/>
    <w:rsid w:val="00E67D40"/>
    <w:rsid w:val="00EB06AC"/>
    <w:rsid w:val="00ED058A"/>
    <w:rsid w:val="00EF11DD"/>
    <w:rsid w:val="00EF7CCD"/>
    <w:rsid w:val="00F05756"/>
    <w:rsid w:val="00F13151"/>
    <w:rsid w:val="00F1435F"/>
    <w:rsid w:val="00F30044"/>
    <w:rsid w:val="00F335B4"/>
    <w:rsid w:val="00F33B02"/>
    <w:rsid w:val="00F3420A"/>
    <w:rsid w:val="00F46BB2"/>
    <w:rsid w:val="00F5343D"/>
    <w:rsid w:val="00F60544"/>
    <w:rsid w:val="00F73418"/>
    <w:rsid w:val="00FA39BF"/>
    <w:rsid w:val="00FB02DC"/>
    <w:rsid w:val="00FE0FEE"/>
    <w:rsid w:val="00FE2FEA"/>
    <w:rsid w:val="00FF2F99"/>
    <w:rsid w:val="00FF46E8"/>
    <w:rsid w:val="02116996"/>
    <w:rsid w:val="02CA1162"/>
    <w:rsid w:val="0307488A"/>
    <w:rsid w:val="032E1ED9"/>
    <w:rsid w:val="036C4C32"/>
    <w:rsid w:val="04266DEA"/>
    <w:rsid w:val="0499751F"/>
    <w:rsid w:val="04A66EE4"/>
    <w:rsid w:val="04F40991"/>
    <w:rsid w:val="056D54F9"/>
    <w:rsid w:val="05804838"/>
    <w:rsid w:val="05E66380"/>
    <w:rsid w:val="05EB3594"/>
    <w:rsid w:val="06307F3D"/>
    <w:rsid w:val="06807101"/>
    <w:rsid w:val="076F558F"/>
    <w:rsid w:val="07732ECF"/>
    <w:rsid w:val="07B9503C"/>
    <w:rsid w:val="083541E3"/>
    <w:rsid w:val="08723B4D"/>
    <w:rsid w:val="089F3499"/>
    <w:rsid w:val="092D34C7"/>
    <w:rsid w:val="09AF132B"/>
    <w:rsid w:val="0A23372D"/>
    <w:rsid w:val="0A42291D"/>
    <w:rsid w:val="0A7A4652"/>
    <w:rsid w:val="0B983421"/>
    <w:rsid w:val="0BA2315F"/>
    <w:rsid w:val="0BF02338"/>
    <w:rsid w:val="0BF56B6F"/>
    <w:rsid w:val="0C1A5191"/>
    <w:rsid w:val="0CBA5B22"/>
    <w:rsid w:val="0CC11662"/>
    <w:rsid w:val="0D467316"/>
    <w:rsid w:val="0F6863A6"/>
    <w:rsid w:val="0FB548E3"/>
    <w:rsid w:val="106F3854"/>
    <w:rsid w:val="11713821"/>
    <w:rsid w:val="11B33294"/>
    <w:rsid w:val="11D97586"/>
    <w:rsid w:val="12C53FE4"/>
    <w:rsid w:val="130556ED"/>
    <w:rsid w:val="132151D6"/>
    <w:rsid w:val="1343135F"/>
    <w:rsid w:val="14FD0129"/>
    <w:rsid w:val="15181187"/>
    <w:rsid w:val="1534761E"/>
    <w:rsid w:val="153B7406"/>
    <w:rsid w:val="1637544C"/>
    <w:rsid w:val="179A12D3"/>
    <w:rsid w:val="17DB2B71"/>
    <w:rsid w:val="17E524BF"/>
    <w:rsid w:val="185A0D2A"/>
    <w:rsid w:val="18757F6C"/>
    <w:rsid w:val="193E0A43"/>
    <w:rsid w:val="19D73D4A"/>
    <w:rsid w:val="19E84479"/>
    <w:rsid w:val="1AF8314E"/>
    <w:rsid w:val="1B107872"/>
    <w:rsid w:val="1C54340D"/>
    <w:rsid w:val="1CAA60A2"/>
    <w:rsid w:val="1E575053"/>
    <w:rsid w:val="1E8B6B95"/>
    <w:rsid w:val="1F96769D"/>
    <w:rsid w:val="1FFD4F5E"/>
    <w:rsid w:val="219904DB"/>
    <w:rsid w:val="222B6C86"/>
    <w:rsid w:val="22503CCA"/>
    <w:rsid w:val="22A8080B"/>
    <w:rsid w:val="232C718C"/>
    <w:rsid w:val="23487524"/>
    <w:rsid w:val="23C50435"/>
    <w:rsid w:val="24117A19"/>
    <w:rsid w:val="249237DF"/>
    <w:rsid w:val="25B53674"/>
    <w:rsid w:val="25FE5A7D"/>
    <w:rsid w:val="263414C2"/>
    <w:rsid w:val="278477D3"/>
    <w:rsid w:val="27A12A3E"/>
    <w:rsid w:val="27B11138"/>
    <w:rsid w:val="27D26E6F"/>
    <w:rsid w:val="28341670"/>
    <w:rsid w:val="28470E0D"/>
    <w:rsid w:val="28500411"/>
    <w:rsid w:val="28606327"/>
    <w:rsid w:val="28EA36FF"/>
    <w:rsid w:val="29373980"/>
    <w:rsid w:val="297E16C9"/>
    <w:rsid w:val="2C2E62C3"/>
    <w:rsid w:val="2C3E6029"/>
    <w:rsid w:val="2CDB0486"/>
    <w:rsid w:val="2CF84D2B"/>
    <w:rsid w:val="2D7641AF"/>
    <w:rsid w:val="2D781322"/>
    <w:rsid w:val="2E463035"/>
    <w:rsid w:val="2E5943D6"/>
    <w:rsid w:val="2EC7729E"/>
    <w:rsid w:val="2ECA49B7"/>
    <w:rsid w:val="2F3A6EF5"/>
    <w:rsid w:val="2F7B2197"/>
    <w:rsid w:val="2F825DB0"/>
    <w:rsid w:val="315E0114"/>
    <w:rsid w:val="31727897"/>
    <w:rsid w:val="31DD11BA"/>
    <w:rsid w:val="323E1C77"/>
    <w:rsid w:val="33427982"/>
    <w:rsid w:val="3353178D"/>
    <w:rsid w:val="3399703E"/>
    <w:rsid w:val="33E853EC"/>
    <w:rsid w:val="34204972"/>
    <w:rsid w:val="35085561"/>
    <w:rsid w:val="35751459"/>
    <w:rsid w:val="361E44C7"/>
    <w:rsid w:val="364752AD"/>
    <w:rsid w:val="365C63FA"/>
    <w:rsid w:val="371F391C"/>
    <w:rsid w:val="38CD71B9"/>
    <w:rsid w:val="3A5E7345"/>
    <w:rsid w:val="3A650E0B"/>
    <w:rsid w:val="3AA97036"/>
    <w:rsid w:val="3AC246C5"/>
    <w:rsid w:val="3B1160EA"/>
    <w:rsid w:val="3BCA7244"/>
    <w:rsid w:val="3BF8054F"/>
    <w:rsid w:val="3EB919AF"/>
    <w:rsid w:val="3F2139E7"/>
    <w:rsid w:val="3FB00B32"/>
    <w:rsid w:val="3FDC1676"/>
    <w:rsid w:val="40157D40"/>
    <w:rsid w:val="40523C97"/>
    <w:rsid w:val="406D0DAE"/>
    <w:rsid w:val="40E937EA"/>
    <w:rsid w:val="41206B78"/>
    <w:rsid w:val="414E5B20"/>
    <w:rsid w:val="4162615E"/>
    <w:rsid w:val="41C16C12"/>
    <w:rsid w:val="42F450F6"/>
    <w:rsid w:val="4348190A"/>
    <w:rsid w:val="434848FB"/>
    <w:rsid w:val="43A30DD9"/>
    <w:rsid w:val="43FC5345"/>
    <w:rsid w:val="44F83E3D"/>
    <w:rsid w:val="45B431CC"/>
    <w:rsid w:val="468B5200"/>
    <w:rsid w:val="46CD4B85"/>
    <w:rsid w:val="47750EF4"/>
    <w:rsid w:val="489F3A8B"/>
    <w:rsid w:val="48BD2DA0"/>
    <w:rsid w:val="48EA6946"/>
    <w:rsid w:val="49476F89"/>
    <w:rsid w:val="4AF35104"/>
    <w:rsid w:val="4AF86C61"/>
    <w:rsid w:val="4B791664"/>
    <w:rsid w:val="4BE83797"/>
    <w:rsid w:val="4C4745E4"/>
    <w:rsid w:val="4C805042"/>
    <w:rsid w:val="4CA30DA8"/>
    <w:rsid w:val="4CE1786E"/>
    <w:rsid w:val="4CFB1023"/>
    <w:rsid w:val="4D291319"/>
    <w:rsid w:val="4E9B73B3"/>
    <w:rsid w:val="4FD14FE6"/>
    <w:rsid w:val="4FF93D00"/>
    <w:rsid w:val="500C79BB"/>
    <w:rsid w:val="5026376E"/>
    <w:rsid w:val="503D1B8F"/>
    <w:rsid w:val="50A016DF"/>
    <w:rsid w:val="50B542AB"/>
    <w:rsid w:val="51B37E6C"/>
    <w:rsid w:val="51CD7FBD"/>
    <w:rsid w:val="522A5B16"/>
    <w:rsid w:val="523E16B3"/>
    <w:rsid w:val="527315A3"/>
    <w:rsid w:val="52D63E89"/>
    <w:rsid w:val="53D225DD"/>
    <w:rsid w:val="5418429E"/>
    <w:rsid w:val="55490962"/>
    <w:rsid w:val="569D4767"/>
    <w:rsid w:val="577A4544"/>
    <w:rsid w:val="582D5E7B"/>
    <w:rsid w:val="597238B8"/>
    <w:rsid w:val="598D70F7"/>
    <w:rsid w:val="5A375500"/>
    <w:rsid w:val="5A6234BD"/>
    <w:rsid w:val="5AA04624"/>
    <w:rsid w:val="5B4B549D"/>
    <w:rsid w:val="5B7D7811"/>
    <w:rsid w:val="5BBC5981"/>
    <w:rsid w:val="5C536419"/>
    <w:rsid w:val="5D970CAC"/>
    <w:rsid w:val="5DBB216A"/>
    <w:rsid w:val="5DD2549A"/>
    <w:rsid w:val="5E377971"/>
    <w:rsid w:val="5E717354"/>
    <w:rsid w:val="5F10323C"/>
    <w:rsid w:val="5F8C1A28"/>
    <w:rsid w:val="5F930AF2"/>
    <w:rsid w:val="61E02D8A"/>
    <w:rsid w:val="631F2BEF"/>
    <w:rsid w:val="63297466"/>
    <w:rsid w:val="638B7D1C"/>
    <w:rsid w:val="63D41242"/>
    <w:rsid w:val="640E33B2"/>
    <w:rsid w:val="64862378"/>
    <w:rsid w:val="64EF7828"/>
    <w:rsid w:val="64FE6C14"/>
    <w:rsid w:val="665543D5"/>
    <w:rsid w:val="66626C4A"/>
    <w:rsid w:val="6691793E"/>
    <w:rsid w:val="66E814F8"/>
    <w:rsid w:val="67166D08"/>
    <w:rsid w:val="67293875"/>
    <w:rsid w:val="67DB1ED7"/>
    <w:rsid w:val="683A3681"/>
    <w:rsid w:val="68DA0995"/>
    <w:rsid w:val="68ED3EB9"/>
    <w:rsid w:val="6B1A22DE"/>
    <w:rsid w:val="6B323A92"/>
    <w:rsid w:val="6B5C770B"/>
    <w:rsid w:val="6B803368"/>
    <w:rsid w:val="6CB87BBD"/>
    <w:rsid w:val="6D32718A"/>
    <w:rsid w:val="6DDF62BD"/>
    <w:rsid w:val="6E31723C"/>
    <w:rsid w:val="6E3D76A6"/>
    <w:rsid w:val="6E93718F"/>
    <w:rsid w:val="6EBFEB9A"/>
    <w:rsid w:val="70367BC5"/>
    <w:rsid w:val="70462679"/>
    <w:rsid w:val="704F62F8"/>
    <w:rsid w:val="70554E5B"/>
    <w:rsid w:val="71682E37"/>
    <w:rsid w:val="716D4BA7"/>
    <w:rsid w:val="71F91A91"/>
    <w:rsid w:val="72471E84"/>
    <w:rsid w:val="725A032D"/>
    <w:rsid w:val="725F3EE0"/>
    <w:rsid w:val="72775609"/>
    <w:rsid w:val="72F04318"/>
    <w:rsid w:val="732443FD"/>
    <w:rsid w:val="73446508"/>
    <w:rsid w:val="73C23E53"/>
    <w:rsid w:val="74215C91"/>
    <w:rsid w:val="7436129F"/>
    <w:rsid w:val="744600ED"/>
    <w:rsid w:val="7571371B"/>
    <w:rsid w:val="75D46363"/>
    <w:rsid w:val="7673397B"/>
    <w:rsid w:val="772E6CAB"/>
    <w:rsid w:val="773029AC"/>
    <w:rsid w:val="77BE5BF4"/>
    <w:rsid w:val="77FA0B7F"/>
    <w:rsid w:val="77FB276E"/>
    <w:rsid w:val="783E4E31"/>
    <w:rsid w:val="78765062"/>
    <w:rsid w:val="78F46AB6"/>
    <w:rsid w:val="795F7221"/>
    <w:rsid w:val="7B515643"/>
    <w:rsid w:val="7B5D175A"/>
    <w:rsid w:val="7BD06BA6"/>
    <w:rsid w:val="7C8E1A7E"/>
    <w:rsid w:val="7C96612F"/>
    <w:rsid w:val="7CD6AECB"/>
    <w:rsid w:val="7D236608"/>
    <w:rsid w:val="7D7D4360"/>
    <w:rsid w:val="7DEED8A1"/>
    <w:rsid w:val="7F0C5D11"/>
    <w:rsid w:val="7F2A395A"/>
    <w:rsid w:val="7FDBEEB3"/>
    <w:rsid w:val="7FF0765E"/>
    <w:rsid w:val="9FF43B1B"/>
    <w:rsid w:val="DFAFA622"/>
    <w:rsid w:val="F3ED6098"/>
    <w:rsid w:val="F75D9BD4"/>
    <w:rsid w:val="F7BF6B6B"/>
    <w:rsid w:val="F7DEEEFF"/>
    <w:rsid w:val="FEC67492"/>
    <w:rsid w:val="FFFF9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Calibri" w:hAnsi="Calibri"/>
    </w:rPr>
  </w:style>
  <w:style w:type="paragraph" w:styleId="3">
    <w:name w:val="index 8"/>
    <w:basedOn w:val="1"/>
    <w:next w:val="1"/>
    <w:qFormat/>
    <w:uiPriority w:val="0"/>
    <w:pPr>
      <w:ind w:left="1400" w:leftChars="1400"/>
    </w:pPr>
  </w:style>
  <w:style w:type="paragraph" w:styleId="4">
    <w:name w:val="Normal Indent"/>
    <w:basedOn w:val="1"/>
    <w:qFormat/>
    <w:uiPriority w:val="0"/>
    <w:pPr>
      <w:ind w:firstLine="420" w:firstLineChars="200"/>
    </w:pPr>
    <w:rPr>
      <w:szCs w:val="24"/>
    </w:rPr>
  </w:style>
  <w:style w:type="paragraph" w:styleId="5">
    <w:name w:val="Plain Text"/>
    <w:basedOn w:val="1"/>
    <w:next w:val="3"/>
    <w:qFormat/>
    <w:uiPriority w:val="0"/>
    <w:rPr>
      <w:rFonts w:ascii="宋体" w:hAnsi="Courier New"/>
      <w:szCs w:val="20"/>
    </w:rPr>
  </w:style>
  <w:style w:type="paragraph" w:styleId="6">
    <w:name w:val="Balloon Text"/>
    <w:basedOn w:val="1"/>
    <w:link w:val="12"/>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widowControl/>
      <w:spacing w:before="100" w:beforeAutospacing="1" w:after="100" w:afterAutospacing="1" w:line="345" w:lineRule="atLeast"/>
      <w:jc w:val="left"/>
    </w:pPr>
    <w:rPr>
      <w:rFonts w:ascii="宋体" w:hAnsi="宋体" w:cs="宋体"/>
      <w:color w:val="333333"/>
      <w:kern w:val="0"/>
      <w:szCs w:val="21"/>
    </w:rPr>
  </w:style>
  <w:style w:type="character" w:customStyle="1" w:styleId="12">
    <w:name w:val="批注框文本 字符"/>
    <w:basedOn w:val="11"/>
    <w:link w:val="6"/>
    <w:qFormat/>
    <w:uiPriority w:val="0"/>
    <w:rPr>
      <w:kern w:val="2"/>
      <w:sz w:val="18"/>
      <w:szCs w:val="18"/>
    </w:rPr>
  </w:style>
  <w:style w:type="paragraph" w:customStyle="1" w:styleId="13">
    <w:name w:val="列出段落1"/>
    <w:basedOn w:val="1"/>
    <w:unhideWhenUsed/>
    <w:qFormat/>
    <w:uiPriority w:val="99"/>
    <w:pPr>
      <w:ind w:firstLine="420" w:firstLineChars="200"/>
    </w:pPr>
  </w:style>
  <w:style w:type="character" w:customStyle="1" w:styleId="14">
    <w:name w:val="fontstyle01"/>
    <w:basedOn w:val="11"/>
    <w:qFormat/>
    <w:uiPriority w:val="0"/>
    <w:rPr>
      <w:rFonts w:ascii="仿宋" w:hAnsi="仿宋" w:eastAsia="仿宋" w:cs="仿宋"/>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960</Words>
  <Characters>5472</Characters>
  <Lines>45</Lines>
  <Paragraphs>12</Paragraphs>
  <TotalTime>31</TotalTime>
  <ScaleCrop>false</ScaleCrop>
  <LinksUpToDate>false</LinksUpToDate>
  <CharactersWithSpaces>6420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pc</dc:creator>
  <cp:lastModifiedBy>俞超军</cp:lastModifiedBy>
  <cp:lastPrinted>2022-02-09T01:19:00Z</cp:lastPrinted>
  <dcterms:modified xsi:type="dcterms:W3CDTF">2022-03-10T01:55:59Z</dcterms:modified>
  <cp:revision>514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FE0BBFE769E84FC590084501C5237601</vt:lpwstr>
  </property>
</Properties>
</file>