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en-US" w:eastAsia="zh-CN"/>
        </w:rPr>
        <w:t xml:space="preserve">            </w:t>
      </w:r>
      <w:r>
        <w:rPr>
          <w:rFonts w:hint="eastAsia"/>
          <w:b/>
          <w:sz w:val="52"/>
          <w:szCs w:val="52"/>
          <w:lang w:val="zh-CN"/>
        </w:rPr>
        <w:t>）</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联系人电话：</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2"/>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rPr>
        <w:t>一、</w:t>
      </w:r>
      <w:r>
        <w:rPr>
          <w:rFonts w:hint="eastAsia" w:ascii="楷体_GB2312" w:hAnsi="宋体" w:eastAsia="楷体_GB2312" w:cs="宋体"/>
          <w:sz w:val="24"/>
          <w:lang w:val="en-US" w:eastAsia="zh-CN"/>
        </w:rPr>
        <w:t>京中医药大学深圳医院（龙岗）医用专科材料议价更正公告</w:t>
      </w:r>
    </w:p>
    <w:p>
      <w:pPr>
        <w:widowControl/>
        <w:rPr>
          <w:rFonts w:hint="eastAsia" w:ascii="楷体_GB2312" w:hAnsi="宋体" w:eastAsia="楷体_GB2312" w:cs="宋体"/>
          <w:sz w:val="24"/>
        </w:rPr>
      </w:pPr>
      <w:r>
        <w:rPr>
          <w:rFonts w:hint="eastAsia" w:ascii="楷体_GB2312" w:hAnsi="宋体" w:eastAsia="楷体_GB2312" w:cs="宋体"/>
          <w:sz w:val="24"/>
          <w:lang w:val="en-US" w:eastAsia="zh-CN"/>
        </w:rPr>
        <w:t>（编号：XM20220054）</w:t>
      </w:r>
    </w:p>
    <w:p>
      <w:pPr>
        <w:widowControl/>
        <w:rPr>
          <w:rFonts w:hint="eastAsia" w:ascii="楷体_GB2312" w:hAnsi="宋体" w:eastAsia="楷体_GB2312" w:cs="宋体"/>
          <w:sz w:val="24"/>
        </w:rPr>
      </w:pPr>
      <w:r>
        <w:rPr>
          <w:rFonts w:hint="eastAsia" w:ascii="楷体_GB2312" w:hAnsi="宋体" w:eastAsia="楷体_GB2312" w:cs="宋体"/>
          <w:sz w:val="24"/>
        </w:rPr>
        <w:t>根据《深圳市卫生系统医用耗材采购管理办法（试行）》的规定，我院近期将对一批医用专科材料进行院内公开招标，欢迎符合资质要求的供应商积极参加与竞争。</w:t>
      </w:r>
    </w:p>
    <w:p>
      <w:pPr>
        <w:widowControl/>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签订采</w:t>
      </w:r>
      <w:r>
        <w:rPr>
          <w:rFonts w:hint="eastAsia" w:ascii="楷体_GB2312" w:hAnsi="宋体" w:eastAsia="楷体_GB2312" w:cs="宋体"/>
          <w:sz w:val="24"/>
          <w:lang w:val="en-US" w:eastAsia="zh-CN"/>
        </w:rPr>
        <w:t>18</w:t>
      </w:r>
      <w:r>
        <w:rPr>
          <w:rFonts w:hint="eastAsia" w:ascii="楷体_GB2312" w:hAnsi="宋体" w:eastAsia="楷体_GB2312" w:cs="宋体"/>
          <w:sz w:val="24"/>
        </w:rPr>
        <w:t>个月的供货合同，按需采购。</w:t>
      </w:r>
    </w:p>
    <w:p>
      <w:pPr>
        <w:widowControl/>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，否则视为不合格（证件、资料全部加盖公章）</w:t>
      </w:r>
      <w:r>
        <w:rPr>
          <w:rFonts w:hint="eastAsia" w:ascii="楷体_GB2312" w:hAnsi="宋体" w:eastAsia="楷体_GB2312" w:cs="宋体"/>
          <w:sz w:val="24"/>
        </w:rPr>
        <w:t>。</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参标人</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 “深圳信用网”以及“深圳市政府采购监管网”为供应商信用信息的查询渠道</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二、</w:t>
      </w:r>
      <w:r>
        <w:rPr>
          <w:rFonts w:hint="eastAsia" w:ascii="楷体_GB2312" w:hAnsi="宋体" w:eastAsia="楷体_GB2312" w:cs="宋体"/>
          <w:sz w:val="24"/>
        </w:rPr>
        <w:t>招标评定</w:t>
      </w:r>
      <w:r>
        <w:rPr>
          <w:rFonts w:hint="eastAsia" w:ascii="楷体_GB2312" w:hAnsi="宋体" w:eastAsia="楷体_GB2312" w:cs="宋体"/>
          <w:sz w:val="24"/>
          <w:lang w:eastAsia="zh-CN"/>
        </w:rPr>
        <w:t>第一轮采用</w:t>
      </w:r>
      <w:r>
        <w:rPr>
          <w:rFonts w:hint="eastAsia" w:ascii="楷体_GB2312" w:hAnsi="宋体" w:eastAsia="楷体_GB2312" w:cs="宋体"/>
          <w:sz w:val="24"/>
        </w:rPr>
        <w:t>综合评分</w:t>
      </w:r>
      <w:r>
        <w:rPr>
          <w:rFonts w:hint="eastAsia" w:ascii="楷体_GB2312" w:hAnsi="宋体" w:eastAsia="楷体_GB2312" w:cs="宋体"/>
          <w:sz w:val="24"/>
          <w:lang w:eastAsia="zh-CN"/>
        </w:rPr>
        <w:t>，第二轮采用</w:t>
      </w:r>
      <w:r>
        <w:rPr>
          <w:rFonts w:hint="eastAsia" w:ascii="楷体_GB2312" w:hAnsi="宋体" w:eastAsia="楷体_GB2312" w:cs="宋体"/>
          <w:sz w:val="24"/>
        </w:rPr>
        <w:t>竞价的采购方式。</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行电话</w:t>
      </w:r>
      <w:r>
        <w:rPr>
          <w:rFonts w:hint="eastAsia" w:ascii="楷体_GB2312" w:hAnsi="宋体" w:eastAsia="楷体_GB2312" w:cs="宋体"/>
          <w:sz w:val="24"/>
        </w:rPr>
        <w:t>通知。</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（一）报名时间：有意参加投标的供应商请于</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1</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21</w:t>
      </w:r>
      <w:r>
        <w:rPr>
          <w:rFonts w:hint="eastAsia" w:ascii="楷体_GB2312" w:hAnsi="宋体" w:eastAsia="楷体_GB2312" w:cs="宋体"/>
          <w:sz w:val="24"/>
          <w:lang w:eastAsia="zh-CN"/>
        </w:rPr>
        <w:t>日至</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1</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27</w:t>
      </w:r>
      <w:r>
        <w:rPr>
          <w:rFonts w:hint="eastAsia" w:ascii="楷体_GB2312" w:hAnsi="宋体" w:eastAsia="楷体_GB2312" w:cs="宋体"/>
          <w:sz w:val="24"/>
          <w:lang w:eastAsia="zh-CN"/>
        </w:rPr>
        <w:t>日下午5:00前进行线上报名，逾期不予受理。</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　　（三）递交资料地点：北京中医药大学深圳医院（龙岗）科教科招采办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 0755-</w:t>
      </w:r>
      <w:r>
        <w:rPr>
          <w:rFonts w:hint="eastAsia" w:ascii="楷体_GB2312" w:hAnsi="宋体" w:eastAsia="楷体_GB2312" w:cs="宋体"/>
          <w:sz w:val="24"/>
          <w:lang w:val="en-US" w:eastAsia="zh-CN"/>
        </w:rPr>
        <w:t>89981165</w:t>
      </w:r>
      <w:r>
        <w:rPr>
          <w:rFonts w:hint="eastAsia" w:ascii="楷体_GB2312" w:hAnsi="宋体" w:eastAsia="楷体_GB2312" w:cs="宋体"/>
          <w:sz w:val="24"/>
        </w:rPr>
        <w:t>，</w:t>
      </w:r>
      <w:r>
        <w:rPr>
          <w:rFonts w:hint="eastAsia" w:ascii="楷体_GB2312" w:hAnsi="宋体" w:eastAsia="楷体_GB2312" w:cs="宋体"/>
          <w:sz w:val="24"/>
          <w:lang w:eastAsia="zh-CN"/>
        </w:rPr>
        <w:t>廖老师</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注明：参与我院医用耗材公开招标的公司必须严格遵守《龙岗区卫生计生单位采购供应商诚信档案管理规定（试行）》文件的相关条款</w:t>
      </w:r>
      <w:r>
        <w:rPr>
          <w:rFonts w:hint="eastAsia" w:ascii="楷体_GB2312" w:hAnsi="宋体" w:eastAsia="楷体_GB2312" w:cs="宋体"/>
          <w:sz w:val="24"/>
          <w:lang w:eastAsia="zh-CN"/>
        </w:rPr>
        <w:t>，如提供虚假材料，移交上级有关部门处理并列不良记录名单且三年内不得在我院投标；上述每一条款必须实质性满足和响应，否则投标无效；政策性原因：若因政府统一招标，将按政府招标结果执行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rPr>
          <w:rFonts w:hint="eastAsia" w:ascii="楷体_GB2312" w:hAnsi="宋体" w:eastAsia="楷体_GB2312" w:cs="宋体"/>
          <w:sz w:val="24"/>
          <w:lang w:eastAsia="zh-CN"/>
        </w:rPr>
      </w:pPr>
      <w:r>
        <w:rPr>
          <w:rFonts w:hint="eastAsia" w:ascii="楷体_GB2312" w:hAnsi="宋体" w:eastAsia="楷体_GB2312" w:cs="宋体"/>
          <w:sz w:val="24"/>
        </w:rPr>
        <w:t>附件</w:t>
      </w:r>
      <w:r>
        <w:rPr>
          <w:rFonts w:hint="eastAsia" w:ascii="楷体_GB2312" w:hAnsi="宋体" w:eastAsia="楷体_GB2312" w:cs="宋体"/>
          <w:sz w:val="24"/>
          <w:lang w:eastAsia="zh-CN"/>
        </w:rPr>
        <w:t>一</w:t>
      </w:r>
      <w:r>
        <w:rPr>
          <w:rFonts w:hint="eastAsia" w:ascii="楷体_GB2312" w:hAnsi="宋体" w:eastAsia="楷体_GB2312" w:cs="宋体"/>
          <w:sz w:val="24"/>
        </w:rPr>
        <w:t>：</w:t>
      </w:r>
      <w:r>
        <w:rPr>
          <w:rFonts w:hint="eastAsia" w:ascii="楷体_GB2312" w:hAnsi="宋体" w:eastAsia="楷体_GB2312" w:cs="宋体"/>
          <w:sz w:val="24"/>
          <w:lang w:val="zh-CN"/>
        </w:rPr>
        <w:t>北京中医药大学深圳医院（龙岗）医用耗材采购文件</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附件二：线上报名流程</w:t>
      </w:r>
    </w:p>
    <w:p>
      <w:pPr>
        <w:widowControl/>
        <w:jc w:val="right"/>
        <w:rPr>
          <w:rFonts w:hint="eastAsia" w:ascii="楷体_GB2312" w:hAnsi="宋体" w:eastAsia="楷体_GB2312" w:cs="宋体"/>
          <w:sz w:val="24"/>
          <w:lang w:eastAsia="zh-CN"/>
        </w:rPr>
      </w:pPr>
      <w:bookmarkStart w:id="0" w:name="_GoBack"/>
      <w:r>
        <w:rPr>
          <w:rFonts w:hint="eastAsia" w:ascii="楷体_GB2312" w:hAnsi="宋体" w:eastAsia="楷体_GB2312" w:cs="宋体"/>
          <w:sz w:val="24"/>
          <w:lang w:eastAsia="zh-CN"/>
        </w:rPr>
        <w:t>北京中医药大学深圳医院（龙岗）</w:t>
      </w:r>
    </w:p>
    <w:p>
      <w:pPr>
        <w:widowControl/>
        <w:jc w:val="right"/>
        <w:rPr>
          <w:rFonts w:ascii="宋体" w:hAnsi="宋体" w:cs="宋体"/>
          <w:sz w:val="24"/>
        </w:rPr>
      </w:pPr>
      <w:r>
        <w:rPr>
          <w:rFonts w:hint="eastAsia" w:ascii="楷体_GB2312" w:hAnsi="宋体" w:eastAsia="楷体_GB2312" w:cs="宋体"/>
          <w:sz w:val="24"/>
        </w:rPr>
        <w:t>　</w:t>
      </w:r>
      <w:r>
        <w:rPr>
          <w:rFonts w:hint="eastAsia" w:ascii="楷体_GB2312" w:hAnsi="宋体" w:eastAsia="楷体_GB2312" w:cs="宋体"/>
          <w:sz w:val="24"/>
          <w:lang w:val="en-US" w:eastAsia="zh-CN"/>
        </w:rPr>
        <w:t>2022</w:t>
      </w:r>
      <w:r>
        <w:rPr>
          <w:rFonts w:hint="eastAsia" w:ascii="楷体_GB2312" w:hAnsi="宋体" w:eastAsia="楷体_GB2312" w:cs="宋体"/>
          <w:sz w:val="24"/>
        </w:rPr>
        <w:t>年</w:t>
      </w:r>
      <w:r>
        <w:rPr>
          <w:rFonts w:hint="eastAsia" w:ascii="楷体_GB2312" w:hAnsi="宋体" w:eastAsia="楷体_GB2312" w:cs="宋体"/>
          <w:sz w:val="24"/>
          <w:lang w:val="en-US" w:eastAsia="zh-CN"/>
        </w:rPr>
        <w:t>1</w:t>
      </w:r>
      <w:r>
        <w:rPr>
          <w:rFonts w:hint="eastAsia" w:ascii="楷体_GB2312" w:hAnsi="宋体" w:eastAsia="楷体_GB2312" w:cs="宋体"/>
          <w:sz w:val="24"/>
        </w:rPr>
        <w:t>月</w:t>
      </w:r>
      <w:r>
        <w:rPr>
          <w:rFonts w:hint="eastAsia" w:ascii="楷体_GB2312" w:hAnsi="宋体" w:eastAsia="楷体_GB2312" w:cs="宋体"/>
          <w:sz w:val="24"/>
          <w:lang w:val="en-US" w:eastAsia="zh-CN"/>
        </w:rPr>
        <w:t>20</w:t>
      </w:r>
      <w:r>
        <w:rPr>
          <w:rFonts w:hint="eastAsia" w:ascii="楷体_GB2312" w:hAnsi="宋体" w:eastAsia="楷体_GB2312" w:cs="宋体"/>
          <w:sz w:val="24"/>
        </w:rPr>
        <w:t>日</w:t>
      </w:r>
    </w:p>
    <w:bookmarkEnd w:id="0"/>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Style w:val="9"/>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1"/>
        <w:gridCol w:w="2414"/>
        <w:gridCol w:w="1935"/>
        <w:gridCol w:w="1591"/>
        <w:gridCol w:w="930"/>
        <w:gridCol w:w="975"/>
        <w:gridCol w:w="810"/>
        <w:gridCol w:w="5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序号</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采购项目名称</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历史采购项目名称</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建议规格型号</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最高限价（元）</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最高限价</w:t>
            </w:r>
          </w:p>
          <w:p>
            <w:pPr>
              <w:spacing w:beforeLines="0" w:afterLines="0"/>
              <w:jc w:val="center"/>
              <w:rPr>
                <w:rFonts w:hint="default" w:ascii="宋体" w:hAnsi="宋体"/>
                <w:color w:val="000000"/>
                <w:sz w:val="18"/>
                <w:szCs w:val="24"/>
              </w:rPr>
            </w:pPr>
            <w:r>
              <w:rPr>
                <w:rFonts w:hint="default" w:ascii="宋体" w:hAnsi="宋体"/>
                <w:color w:val="000000"/>
                <w:sz w:val="18"/>
                <w:szCs w:val="24"/>
              </w:rPr>
              <w:t>单位</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需求科室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参数需求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1包1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碘伏医用手术薄膜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SD45*30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35.5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元/张</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1包2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碘伏医用手术薄膜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SD45*45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42.6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元/张</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30*45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14*35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45*45脑</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20*30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45*45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50*60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6*7</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6*9</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7*11</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2包10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45*45双袋</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2包11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50*75妇科</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2包12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90*100妇科</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2包13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100*150妇科</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供医院手术切口部分贴用及穿刺保护和留置针的固定。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3包1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一次性使用无菌手术膜（内含治疗巾、中单、孔巾。盆套由等为一套）</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10*8</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280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元/袋</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医用手术薄膜（内含治疗巾、中单、孔巾、盆套等为一套）单张层数3-4层复合材料组成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3包2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专科耗材-手术室</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一次性使用无菌手术膜（内含治疗巾、中单、孔巾。盆套由等为一套）</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5*8</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元/袋</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医用手术薄膜（内含治疗巾、中单、孔巾、盆套等为一套）单张层数3-4层复合材料组成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4包10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4包11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4包12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4包13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4包14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一次性无菌加强型柔性气管插管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，套囊完全贴合于管壁，置管、拔管更顺畅；4、内置钢丝弹簧，防止管身压扁打折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4包15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4包16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4包17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4包18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4包19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4包20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4包21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4包22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4包23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4包24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4包25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4包26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4包27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8.5mm(带套囊)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4包28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一次性无菌柔性气管插管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9.0mm(带套囊)</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1、俗称鹰嘴管，柔软的头端有一软勾，插管时减少对声门损伤，在遇到阻碍时，可顺滑通过；2、PU材质球囊、薄、透明、弹性好，具有良好的生物相容性；3、PU材质球囊放气后 ，套囊完全贴合于管壁，置管、拔管更顺畅。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4包29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一次性无菌双腔支气管插管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Fr28</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1、专利的通气转换开关一体化设计，操作简单，提高单边通气的便捷性。2、球囊切面平伸设计，有效封堵气管和减少对气管的压迫损失；3、支气管端的角度设计合理，既符合使用要求，又不易打折</w:t>
            </w:r>
          </w:p>
          <w:p>
            <w:pPr>
              <w:spacing w:beforeLines="0" w:afterLines="0"/>
              <w:jc w:val="center"/>
              <w:rPr>
                <w:rFonts w:hint="default" w:ascii="宋体" w:hAnsi="宋体"/>
                <w:color w:val="000000"/>
                <w:sz w:val="18"/>
                <w:szCs w:val="24"/>
              </w:rPr>
            </w:pPr>
            <w:r>
              <w:rPr>
                <w:rFonts w:hint="default" w:ascii="宋体" w:hAnsi="宋体"/>
                <w:color w:val="000000"/>
                <w:sz w:val="18"/>
                <w:szCs w:val="24"/>
              </w:rPr>
              <w:t>4、四通接头倒角设计，纤支镜和吸痰管进出更自如，有效防止刮擦纤支镜。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4包30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一次性无菌双腔支气管插管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Fr32</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1、专利的通气转换开关一体化设计，操作简单，提高单边通气的便捷性。2、球囊切面平伸设计，有效封堵气管和减少对气管的压迫损失；3、支气管端的角度设计合理，既符合使用要求，又不易打折</w:t>
            </w:r>
          </w:p>
          <w:p>
            <w:pPr>
              <w:spacing w:beforeLines="0" w:afterLines="0"/>
              <w:jc w:val="center"/>
              <w:rPr>
                <w:rFonts w:hint="default" w:ascii="宋体" w:hAnsi="宋体"/>
                <w:color w:val="000000"/>
                <w:sz w:val="18"/>
                <w:szCs w:val="24"/>
              </w:rPr>
            </w:pPr>
            <w:r>
              <w:rPr>
                <w:rFonts w:hint="default" w:ascii="宋体" w:hAnsi="宋体"/>
                <w:color w:val="000000"/>
                <w:sz w:val="18"/>
                <w:szCs w:val="24"/>
              </w:rPr>
              <w:t>4、四通接头倒角设计，纤支镜和吸痰管进出更自如，有效防止刮擦纤支镜。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4包31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一次性无菌双腔支气管插管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Fr35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1、专利的通气转换开关一体化设计，操作简单，提高单边通气的便捷性。2、球囊切面平伸设计，有效封堵气管和减少对气管的压迫损失；3、支气管端的角度设计合理，既符合使用要求，又不易打折</w:t>
            </w:r>
          </w:p>
          <w:p>
            <w:pPr>
              <w:spacing w:beforeLines="0" w:afterLines="0"/>
              <w:jc w:val="center"/>
              <w:rPr>
                <w:rFonts w:hint="default" w:ascii="宋体" w:hAnsi="宋体"/>
                <w:color w:val="000000"/>
                <w:sz w:val="18"/>
                <w:szCs w:val="24"/>
              </w:rPr>
            </w:pPr>
            <w:r>
              <w:rPr>
                <w:rFonts w:hint="default" w:ascii="宋体" w:hAnsi="宋体"/>
                <w:color w:val="000000"/>
                <w:sz w:val="18"/>
                <w:szCs w:val="24"/>
              </w:rPr>
              <w:t>4、四通接头倒角设计，纤支镜和吸痰管进出更自如，有效防止刮擦纤支镜。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4包32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一次性无菌双腔支气管插管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Fr37</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1、专利的通气转换开关一体化设计，操作简单，提高单边通气的便捷性。2、球囊切面平伸设计，有效封堵气管和减少对气管的压迫损失；3、支气管端的角度设计合理，既符合使用要求，又不易打折</w:t>
            </w:r>
          </w:p>
          <w:p>
            <w:pPr>
              <w:spacing w:beforeLines="0" w:afterLines="0"/>
              <w:jc w:val="center"/>
              <w:rPr>
                <w:rFonts w:hint="default" w:ascii="宋体" w:hAnsi="宋体"/>
                <w:color w:val="000000"/>
                <w:sz w:val="18"/>
                <w:szCs w:val="24"/>
              </w:rPr>
            </w:pPr>
            <w:r>
              <w:rPr>
                <w:rFonts w:hint="default" w:ascii="宋体" w:hAnsi="宋体"/>
                <w:color w:val="000000"/>
                <w:sz w:val="18"/>
                <w:szCs w:val="24"/>
              </w:rPr>
              <w:t>4、四通接头倒角设计，纤支镜和吸痰管进出更自如，有效防止刮擦纤支镜。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4包33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一次性无菌双腔支气管插管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Fr39</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1、专利的通气转换开关一体化设计，操作简单，提高单边通气的便捷性。2、球囊切面平伸设计，有效封堵气管和减少对气管的压迫损失；3、支气管端的角度设计合理，既符合使用要求，又不易打折</w:t>
            </w:r>
          </w:p>
          <w:p>
            <w:pPr>
              <w:spacing w:beforeLines="0" w:afterLines="0"/>
              <w:jc w:val="center"/>
              <w:rPr>
                <w:rFonts w:hint="default" w:ascii="宋体" w:hAnsi="宋体"/>
                <w:color w:val="000000"/>
                <w:sz w:val="18"/>
                <w:szCs w:val="24"/>
              </w:rPr>
            </w:pPr>
            <w:r>
              <w:rPr>
                <w:rFonts w:hint="default" w:ascii="宋体" w:hAnsi="宋体"/>
                <w:color w:val="000000"/>
                <w:sz w:val="18"/>
                <w:szCs w:val="24"/>
              </w:rPr>
              <w:t>4、四通接头倒角设计，纤支镜和吸痰管进出更自如，有效防止刮擦纤支镜。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4包34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一次性无菌双腔支气管插管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Fr41</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1、专利的通气转换开关一体化设计，操作简单，提高单边通气的便捷性。2、球囊切面平伸设计，有效封堵气管和减少对气管的压迫损失；3、支气管端的角度设计合理，既符合使用要求，又不易打折</w:t>
            </w:r>
          </w:p>
          <w:p>
            <w:pPr>
              <w:spacing w:beforeLines="0" w:afterLines="0"/>
              <w:jc w:val="center"/>
              <w:rPr>
                <w:rFonts w:hint="default" w:ascii="宋体" w:hAnsi="宋体"/>
                <w:color w:val="000000"/>
                <w:sz w:val="18"/>
                <w:szCs w:val="24"/>
              </w:rPr>
            </w:pPr>
            <w:r>
              <w:rPr>
                <w:rFonts w:hint="default" w:ascii="宋体" w:hAnsi="宋体"/>
                <w:color w:val="000000"/>
                <w:sz w:val="18"/>
                <w:szCs w:val="24"/>
              </w:rPr>
              <w:t>4、四通接头倒角设计，纤支镜和吸痰管进出更自如，有效防止刮擦纤支镜。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4包35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一次性无菌双腔支气管插管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28Fr</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1、专利的通气转换开关一体化设计，操作简单，提高单边通气的便捷性。2、球囊切面平伸设计，有效封堵气管和减少对气管的压迫损失；3、支气管端的角度设计合理，既符合使用要求，又不易打折</w:t>
            </w:r>
          </w:p>
          <w:p>
            <w:pPr>
              <w:spacing w:beforeLines="0" w:afterLines="0"/>
              <w:jc w:val="center"/>
              <w:rPr>
                <w:rFonts w:hint="default" w:ascii="宋体" w:hAnsi="宋体"/>
                <w:color w:val="000000"/>
                <w:sz w:val="18"/>
                <w:szCs w:val="24"/>
              </w:rPr>
            </w:pPr>
            <w:r>
              <w:rPr>
                <w:rFonts w:hint="default" w:ascii="宋体" w:hAnsi="宋体"/>
                <w:color w:val="000000"/>
                <w:sz w:val="18"/>
                <w:szCs w:val="24"/>
              </w:rPr>
              <w:t>4、四通接头倒角设计，纤支镜和吸痰管进出更自如，有效防止刮擦纤支镜。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4包36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一次性无菌双腔支气管插管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32Fr</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1、专利的通气转换开关一体化设计，操作简单，提高单边通气的便捷性。2、球囊切面平伸设计，有效封堵气管和减少对气管的压迫损失；3、支气管端的角度设计合理，既符合使用要求，又不易打折</w:t>
            </w:r>
          </w:p>
          <w:p>
            <w:pPr>
              <w:spacing w:beforeLines="0" w:afterLines="0"/>
              <w:jc w:val="center"/>
              <w:rPr>
                <w:rFonts w:hint="default" w:ascii="宋体" w:hAnsi="宋体"/>
                <w:color w:val="000000"/>
                <w:sz w:val="18"/>
                <w:szCs w:val="24"/>
              </w:rPr>
            </w:pPr>
            <w:r>
              <w:rPr>
                <w:rFonts w:hint="default" w:ascii="宋体" w:hAnsi="宋体"/>
                <w:color w:val="000000"/>
                <w:sz w:val="18"/>
                <w:szCs w:val="24"/>
              </w:rPr>
              <w:t>4、四通接头倒角设计，纤支镜和吸痰管进出更自如，有效防止刮擦纤支镜。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4包37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一次性无菌双腔支气管插管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35Fr</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1、专利的通气转换开关一体化设计，操作简单，提高单边通气的便捷性。2、球囊切面平伸设计，有效封堵气管和减少对气管的压迫损失；3、支气管端的角度设计合理，既符合使用要求，又不易打折</w:t>
            </w:r>
          </w:p>
          <w:p>
            <w:pPr>
              <w:spacing w:beforeLines="0" w:afterLines="0"/>
              <w:jc w:val="center"/>
              <w:rPr>
                <w:rFonts w:hint="default" w:ascii="宋体" w:hAnsi="宋体"/>
                <w:color w:val="000000"/>
                <w:sz w:val="18"/>
                <w:szCs w:val="24"/>
              </w:rPr>
            </w:pPr>
            <w:r>
              <w:rPr>
                <w:rFonts w:hint="default" w:ascii="宋体" w:hAnsi="宋体"/>
                <w:color w:val="000000"/>
                <w:sz w:val="18"/>
                <w:szCs w:val="24"/>
              </w:rPr>
              <w:t>4、四通接头倒角设计，纤支镜和吸痰管进出更自如，有效防止刮擦纤支镜。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4包38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一次性无菌双腔支气管插管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37Fr</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1、专利的通气转换开关一体化设计，操作简单，提高单边通气的便捷性。2、球囊切面平伸设计，有效封堵气管和减少对气管的压迫损失；3、支气管端的角度设计合理，既符合使用要求，又不易打折</w:t>
            </w:r>
          </w:p>
          <w:p>
            <w:pPr>
              <w:spacing w:beforeLines="0" w:afterLines="0"/>
              <w:jc w:val="center"/>
              <w:rPr>
                <w:rFonts w:hint="default" w:ascii="宋体" w:hAnsi="宋体"/>
                <w:color w:val="000000"/>
                <w:sz w:val="18"/>
                <w:szCs w:val="24"/>
              </w:rPr>
            </w:pPr>
            <w:r>
              <w:rPr>
                <w:rFonts w:hint="default" w:ascii="宋体" w:hAnsi="宋体"/>
                <w:color w:val="000000"/>
                <w:sz w:val="18"/>
                <w:szCs w:val="24"/>
              </w:rPr>
              <w:t>4、四通接头倒角设计，纤支镜和吸痰管进出更自如，有效防止刮擦纤支镜。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4包39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一次性无菌双腔支气管插管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39Fr</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1、专利的通气转换开关一体化设计，操作简单，提高单边通气的便捷性。2、球囊切面平伸设计，有效封堵气管和减少对气管的压迫损失；3、支气管端的角度设计合理，既符合使用要求，又不易打折</w:t>
            </w:r>
          </w:p>
          <w:p>
            <w:pPr>
              <w:spacing w:beforeLines="0" w:afterLines="0"/>
              <w:jc w:val="center"/>
              <w:rPr>
                <w:rFonts w:hint="default" w:ascii="宋体" w:hAnsi="宋体"/>
                <w:color w:val="000000"/>
                <w:sz w:val="18"/>
                <w:szCs w:val="24"/>
              </w:rPr>
            </w:pPr>
            <w:r>
              <w:rPr>
                <w:rFonts w:hint="default" w:ascii="宋体" w:hAnsi="宋体"/>
                <w:color w:val="000000"/>
                <w:sz w:val="18"/>
                <w:szCs w:val="24"/>
              </w:rPr>
              <w:t>4、四通接头倒角设计，纤支镜和吸痰管进出更自如，有效防止刮擦纤支镜。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4包40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气管插管包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一次性无菌双腔支气管插管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41Fr</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元/条</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1、专利的通气转换开关一体化设计，操作简单，提高单边通气的便捷性。2、球囊切面平伸设计，有效封堵气管和减少对气管的压迫损失；3、支气管端的角度设计合理，既符合使用要求，又不易打折</w:t>
            </w:r>
          </w:p>
          <w:p>
            <w:pPr>
              <w:spacing w:beforeLines="0" w:afterLines="0"/>
              <w:jc w:val="center"/>
              <w:rPr>
                <w:rFonts w:hint="default" w:ascii="宋体" w:hAnsi="宋体"/>
                <w:color w:val="000000"/>
                <w:sz w:val="18"/>
                <w:szCs w:val="24"/>
              </w:rPr>
            </w:pPr>
            <w:r>
              <w:rPr>
                <w:rFonts w:hint="default" w:ascii="宋体" w:hAnsi="宋体"/>
                <w:color w:val="000000"/>
                <w:sz w:val="18"/>
                <w:szCs w:val="24"/>
              </w:rPr>
              <w:t>4、四通接头倒角设计，纤支镜和吸痰管进出更自如，有效防止刮擦纤支镜。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4包41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通用耗材</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一次性肠内营养泵管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针式泵管Link-01-3</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元/根</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为营养输液泵配套使用，适用于肠内喂养。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4包42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通用耗材</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一次性肠内营养泵管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LInk-01-4（针式重力）</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元/根</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靠营养液重力输注，适用于肠内喂养。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4包43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通用耗材</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高分子夹板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7.5*90cm</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用于骨折外固定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4包44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通用耗材</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高分子夹板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10*50cm</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用于骨折外固定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4包45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通用耗材</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高分子夹板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10*75cm</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用于骨折外固定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4包46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通用耗材</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高分子夹板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10*40cm</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用于骨折外固定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4包47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通用耗材</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高分子夹板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7.5*30cm</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用于骨折外固定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4包48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通用耗材</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高分子夹板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12.5*115cm</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237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用于骨折外固定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5包</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专科耗材-麻醉科</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钙石灰</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4500g</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元/瓶</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麻醉科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麻醉机的循环吸收组件中用于装二氧化碳吸收剂的容器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6包1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专科耗材-麻醉科</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一次性喉镜镜片</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TDC-3</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元/个</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麻醉科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供医疗机构在麻醉及抢救时导入气管插管用。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6包2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专科耗材-麻醉科</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一次性喉镜镜片</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TDC-4</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元/个</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麻醉科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供医疗机构在麻醉及抢救时导入气管插管用。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6包3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专科耗材-麻醉科</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一次性喉镜镜片</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TDC-2</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元/个</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麻醉科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供医疗机构在麻醉及抢救时导入气管插管用。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7包1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专科耗材-麻醉科</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医用充气式单腔喉罩</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普通型DLM1.0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元/个</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麻醉科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适用于需要进行全麻手术以及急救复苏的患者作人工通气或与其他需要呼吸的患者建立短期非确定性人工气道。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7包2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专科耗材-麻醉科</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医用充气式单腔喉罩</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普通型DLM1.5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元/个</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麻醉科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适用于需要进行全麻手术以及急救复苏的患者作人工通气或与其他需要呼吸的患者建立短期非确定性人工气道。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7包3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专科耗材-麻醉科</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医用充气式单腔喉罩</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普通型DLM2.0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元/个</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麻醉科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适用于需要进行全麻手术以及急救复苏的患者作人工通气或与其他需要呼吸的患者建立短期非确定性人工气道。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7包4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专科耗材-麻醉科</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医用充气式单腔喉罩</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普通型DLM2.5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元/个</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麻醉科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适用于需要进行全麻手术以及急救复苏的患者作人工通气或与其他需要呼吸的患者建立短期非确定性人工气道。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7包5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专科耗材-麻醉科</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医用充气式单腔喉罩</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普通型DLM3.0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元/个</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麻醉科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适用于需要进行全麻手术以及急救复苏的患者作人工通气或与其他需要呼吸的患者建立短期非确定性人工气道。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7包6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专科耗材-麻醉科</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医用充气式单腔喉罩</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普通型DLM4.0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元/个</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麻醉科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适用于需要进行全麻手术以及急救复苏的患者作人工通气或与其他需要呼吸的患者建立短期非确定性人工气道。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7包7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专科耗材-麻醉科</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医用充气式单腔喉罩</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普通型DLM5.0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元/个</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麻醉科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适用于需要进行全麻手术以及急救复苏的患者作人工通气或与其他需要呼吸的患者建立短期非确定性人工气道。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专科耗材-ICU麻醉科</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测压传感器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DPT-01</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172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元/个</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ICU、麻醉科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 灵敏度为5μV/mmHg±1%；压力传感器在整个</w:t>
            </w:r>
          </w:p>
          <w:p>
            <w:pPr>
              <w:spacing w:beforeLines="0" w:afterLines="0"/>
              <w:jc w:val="center"/>
              <w:rPr>
                <w:rFonts w:hint="default" w:ascii="宋体" w:hAnsi="宋体"/>
                <w:color w:val="000000"/>
                <w:sz w:val="18"/>
                <w:szCs w:val="24"/>
              </w:rPr>
            </w:pPr>
            <w:r>
              <w:rPr>
                <w:rFonts w:hint="default" w:ascii="宋体" w:hAnsi="宋体"/>
                <w:color w:val="000000"/>
                <w:sz w:val="18"/>
                <w:szCs w:val="24"/>
              </w:rPr>
              <w:t>-30mmHg～300mmHg的 范围内正常工作，并且在-400mmHg～4000mmHg范围内的过压条件下不损坏；失调应能在内部调整到±75mmHg 以内；频率响应≥200Hz（仅血压传感器部</w:t>
            </w:r>
          </w:p>
          <w:p>
            <w:pPr>
              <w:spacing w:beforeLines="0" w:afterLines="0"/>
              <w:jc w:val="center"/>
              <w:rPr>
                <w:rFonts w:hint="default" w:ascii="宋体" w:hAnsi="宋体"/>
                <w:color w:val="000000"/>
                <w:sz w:val="18"/>
                <w:szCs w:val="24"/>
              </w:rPr>
            </w:pPr>
            <w:r>
              <w:rPr>
                <w:rFonts w:hint="default" w:ascii="宋体" w:hAnsi="宋体"/>
                <w:color w:val="000000"/>
                <w:sz w:val="18"/>
                <w:szCs w:val="24"/>
              </w:rPr>
              <w:t>分，基于15%通频带）；工作温度范围：+15℃～+40℃；</w:t>
            </w:r>
          </w:p>
          <w:p>
            <w:pPr>
              <w:spacing w:beforeLines="0" w:afterLines="0"/>
              <w:jc w:val="center"/>
              <w:rPr>
                <w:rFonts w:hint="default" w:ascii="宋体" w:hAnsi="宋体"/>
                <w:color w:val="000000"/>
                <w:sz w:val="18"/>
                <w:szCs w:val="24"/>
              </w:rPr>
            </w:pPr>
            <w:r>
              <w:rPr>
                <w:rFonts w:hint="default" w:ascii="宋体" w:hAnsi="宋体"/>
                <w:color w:val="000000"/>
                <w:sz w:val="18"/>
                <w:szCs w:val="24"/>
              </w:rPr>
              <w:t>2. 输液管路具有抗外力干扰、抗弯曲性、顺应性好的性能特点；</w:t>
            </w:r>
          </w:p>
          <w:p>
            <w:pPr>
              <w:spacing w:beforeLines="0" w:afterLines="0"/>
              <w:jc w:val="center"/>
              <w:rPr>
                <w:rFonts w:hint="default" w:ascii="宋体" w:hAnsi="宋体"/>
                <w:color w:val="000000"/>
                <w:sz w:val="18"/>
                <w:szCs w:val="24"/>
              </w:rPr>
            </w:pPr>
            <w:r>
              <w:rPr>
                <w:rFonts w:hint="default" w:ascii="宋体" w:hAnsi="宋体"/>
                <w:color w:val="000000"/>
                <w:sz w:val="18"/>
                <w:szCs w:val="24"/>
              </w:rPr>
              <w:t>3. 电磁兼容性、电气安全性能均符合行业标准要求；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w:t>
            </w:r>
          </w:p>
        </w:tc>
        <w:tc>
          <w:tcPr>
            <w:tcW w:w="241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专科耗材-神经外科</w:t>
            </w:r>
          </w:p>
        </w:tc>
        <w:tc>
          <w:tcPr>
            <w:tcW w:w="19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神经外科微血管减压垫片</w:t>
            </w:r>
          </w:p>
        </w:tc>
        <w:tc>
          <w:tcPr>
            <w:tcW w:w="1591" w:type="dxa"/>
            <w:tcBorders>
              <w:top w:val="single" w:color="auto" w:sz="6" w:space="0"/>
              <w:left w:val="single" w:color="auto" w:sz="6" w:space="0"/>
              <w:bottom w:val="single" w:color="auto" w:sz="6" w:space="0"/>
              <w:right w:val="single" w:color="auto" w:sz="6" w:space="0"/>
              <w:tl2br w:val="nil"/>
              <w:tr2bl w:val="nil"/>
            </w:tcBorders>
            <w:shd w:val="solid" w:color="FFFFFF" w:fill="FFFFFF"/>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10mm*15mm</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6680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元/片</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神经外科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10包1</w:t>
            </w:r>
          </w:p>
        </w:tc>
        <w:tc>
          <w:tcPr>
            <w:tcW w:w="241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专科耗材-神经外科</w:t>
            </w:r>
          </w:p>
        </w:tc>
        <w:tc>
          <w:tcPr>
            <w:tcW w:w="1935" w:type="dxa"/>
            <w:tcBorders>
              <w:top w:val="single" w:color="auto" w:sz="6" w:space="0"/>
              <w:left w:val="single" w:color="auto" w:sz="6" w:space="0"/>
              <w:bottom w:val="single" w:color="auto" w:sz="6" w:space="0"/>
              <w:right w:val="single" w:color="auto" w:sz="6" w:space="0"/>
              <w:tl2br w:val="nil"/>
              <w:tr2bl w:val="nil"/>
            </w:tcBorders>
            <w:shd w:val="clear" w:color="FF99CC" w:fill="auto"/>
            <w:noWrap w:val="0"/>
            <w:vAlign w:val="top"/>
          </w:tcPr>
          <w:p>
            <w:pPr>
              <w:spacing w:beforeLines="0" w:afterLines="0"/>
              <w:jc w:val="center"/>
              <w:rPr>
                <w:rFonts w:hint="default" w:ascii="宋体" w:hAnsi="宋体"/>
                <w:color w:val="000000" w:themeColor="text1"/>
                <w:sz w:val="18"/>
                <w:szCs w:val="24"/>
                <w14:textFill>
                  <w14:solidFill>
                    <w14:schemeClr w14:val="tx1"/>
                  </w14:solidFill>
                </w14:textFill>
              </w:rPr>
            </w:pPr>
            <w:r>
              <w:rPr>
                <w:rFonts w:hint="default" w:ascii="宋体" w:hAnsi="宋体"/>
                <w:color w:val="000000" w:themeColor="text1"/>
                <w:sz w:val="18"/>
                <w:szCs w:val="24"/>
                <w14:textFill>
                  <w14:solidFill>
                    <w14:schemeClr w14:val="tx1"/>
                  </w14:solidFill>
                </w14:textFill>
              </w:rPr>
              <w:t>一次性使用组织导管扩张器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VDY20115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3690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元/套</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神经外科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10包2</w:t>
            </w:r>
          </w:p>
        </w:tc>
        <w:tc>
          <w:tcPr>
            <w:tcW w:w="241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专科耗材-神经外科</w:t>
            </w:r>
          </w:p>
        </w:tc>
        <w:tc>
          <w:tcPr>
            <w:tcW w:w="1935" w:type="dxa"/>
            <w:tcBorders>
              <w:top w:val="single" w:color="auto" w:sz="6" w:space="0"/>
              <w:left w:val="single" w:color="auto" w:sz="6" w:space="0"/>
              <w:bottom w:val="single" w:color="auto" w:sz="6" w:space="0"/>
              <w:right w:val="single" w:color="auto" w:sz="6" w:space="0"/>
              <w:tl2br w:val="nil"/>
              <w:tr2bl w:val="nil"/>
            </w:tcBorders>
            <w:shd w:val="clear" w:color="FF99CC" w:fill="auto"/>
            <w:noWrap w:val="0"/>
            <w:vAlign w:val="top"/>
          </w:tcPr>
          <w:p>
            <w:pPr>
              <w:spacing w:beforeLines="0" w:afterLines="0"/>
              <w:jc w:val="center"/>
              <w:rPr>
                <w:rFonts w:hint="default" w:ascii="宋体" w:hAnsi="宋体"/>
                <w:color w:val="000000" w:themeColor="text1"/>
                <w:sz w:val="18"/>
                <w:szCs w:val="24"/>
                <w14:textFill>
                  <w14:solidFill>
                    <w14:schemeClr w14:val="tx1"/>
                  </w14:solidFill>
                </w14:textFill>
              </w:rPr>
            </w:pPr>
            <w:r>
              <w:rPr>
                <w:rFonts w:hint="default" w:ascii="宋体" w:hAnsi="宋体"/>
                <w:color w:val="000000" w:themeColor="text1"/>
                <w:sz w:val="18"/>
                <w:szCs w:val="24"/>
                <w14:textFill>
                  <w14:solidFill>
                    <w14:schemeClr w14:val="tx1"/>
                  </w14:solidFill>
                </w14:textFill>
              </w:rPr>
              <w:t>一次性使用组织导管扩张器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VDY20065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3690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元/套</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神经外科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10包3</w:t>
            </w:r>
          </w:p>
        </w:tc>
        <w:tc>
          <w:tcPr>
            <w:tcW w:w="241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专科耗材-神经外科</w:t>
            </w:r>
          </w:p>
        </w:tc>
        <w:tc>
          <w:tcPr>
            <w:tcW w:w="1935" w:type="dxa"/>
            <w:tcBorders>
              <w:top w:val="single" w:color="auto" w:sz="6" w:space="0"/>
              <w:left w:val="single" w:color="auto" w:sz="6" w:space="0"/>
              <w:bottom w:val="single" w:color="auto" w:sz="6" w:space="0"/>
              <w:right w:val="single" w:color="auto" w:sz="6" w:space="0"/>
              <w:tl2br w:val="nil"/>
              <w:tr2bl w:val="nil"/>
            </w:tcBorders>
            <w:shd w:val="clear" w:color="FF99CC" w:fill="auto"/>
            <w:noWrap w:val="0"/>
            <w:vAlign w:val="top"/>
          </w:tcPr>
          <w:p>
            <w:pPr>
              <w:spacing w:beforeLines="0" w:afterLines="0"/>
              <w:jc w:val="center"/>
              <w:rPr>
                <w:rFonts w:hint="default" w:ascii="宋体" w:hAnsi="宋体"/>
                <w:color w:val="000000" w:themeColor="text1"/>
                <w:sz w:val="18"/>
                <w:szCs w:val="24"/>
                <w14:textFill>
                  <w14:solidFill>
                    <w14:schemeClr w14:val="tx1"/>
                  </w14:solidFill>
                </w14:textFill>
              </w:rPr>
            </w:pPr>
            <w:r>
              <w:rPr>
                <w:rFonts w:hint="default" w:ascii="宋体" w:hAnsi="宋体"/>
                <w:color w:val="000000" w:themeColor="text1"/>
                <w:sz w:val="18"/>
                <w:szCs w:val="24"/>
                <w14:textFill>
                  <w14:solidFill>
                    <w14:schemeClr w14:val="tx1"/>
                  </w14:solidFill>
                </w14:textFill>
              </w:rPr>
              <w:t>一次性使用组织导管扩张器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VDY20085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3690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元/套</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神经外科</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160，直，全齿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手术刀柄</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4L#</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手术刀柄</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3L#</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分离结扎钳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220*20*90°，角弯，半齿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281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深部拉钩</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300*48*120，S形</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分离结扎钳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250*25*90°，角弯，全齿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349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主动脉侧壁钳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160*18</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持针钳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250，直，粗针，镶片0.5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125，弯蚊，全齿，精细</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134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主动脉侧壁钳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240*48，双角弯</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持针钳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200，直窄，细针，镶片0.3</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979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持针钳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250，直，细针</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133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140，直圆</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眼用剪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100，弯尖</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眼用剪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100，直尖</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4#，尖圆头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4.5#，尖圆头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5#，尖圆头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5.5#，尖圆头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6#，尖圆头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6.5#，尖圆头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7#，尖圆头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7.5#，尖圆头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流产吸引头</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6#，弯</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流产吸引头</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7#，弯</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流产吸引头</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8#，弯</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帕巾钳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140，尖头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组织钳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11包30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180，直圆</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11包31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11包32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11包33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11包34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11包35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11包36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11包37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11包38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11包39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剥离器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11包40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眼科镊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100，直有钩</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11包41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眼科镊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100，弯无钩，有齿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11包42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持针钳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250，直，粗针，镶片0.5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598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11包43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持针钳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140，直，粗针</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11包44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持针钳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180，直，粗针</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11包45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持针钳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250，直，粗针</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11包46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持针钳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250，直，细针</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11包47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持针钳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160，直，粗针</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11包48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显微持针钳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140×0.4，弯型</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549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11包49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显微组织剪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125，直型，带齿，簧式，圆柄</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617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11包50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显微组织剪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140，弯型，带齿，簧式，圆柄</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617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11包51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手术刀柄</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11包52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手术刀柄</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11包53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持针钳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140，直，粗针</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11包54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组织剪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140，弯</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11包55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160，直圆</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11包56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160，直尖</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11包57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180，直尖</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11包58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140，弯圆</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11包59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160，弯尖</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11包60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180，弯尖</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11包61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组织剪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11包62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组织剪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200，弯</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11包63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组织剪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200，弯，综合</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11包64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组织剪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220，弯，综合</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11包65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纱布绷带剪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180，全球头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11包66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手术刀柄</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11包67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11包68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11包69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11包70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组织镊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160，1×2钩</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11包71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组织钳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11包72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125，弯蚊，全齿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11包73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11包74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海绵钳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250×10，弯无齿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11包75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海绵钳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250×10，弯有齿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11包76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帕巾钳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140，尖头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11包77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帕巾钳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160，尖头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11包78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125，弯蚊，全齿，精细</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11包79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125，直蚊，全齿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11包80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125，弯蚊，全齿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11包81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140，直，全齿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11包82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11包83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分离结扎钳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200×14×110°，角弯，半齿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266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11包84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11包85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180，弯，全齿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11包86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11包87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分离结扎钳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180×38×12，弯，半齿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280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11包88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子宫刮匙</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280*8（8#），锐，环形，六方柄</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11包89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分离结扎钳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220×16×90°角弯，半齿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280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11包90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分离结扎钳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220×65×23，弯，全齿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280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11包91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分离结扎钳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240×71×12，弯，全齿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353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11包92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不锈钢腰子盘</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205*130*25 浅型</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11包93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分离结扎钳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260×14×100°，角弯，全齿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353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11包94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分离结扎钳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260×50×14，弯，半齿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353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11包95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分离结扎钳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260×44×14，弯，全齿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353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11包96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11包97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240，弯，全齿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139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11包98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分离结扎钳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260×10×100°，角弯，全齿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353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11包99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不锈钢服药杯</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40ml</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11包100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不锈钢镊子筒</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80×200，有盖，大号</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11包101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不锈钢镊子筒</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64×150，有盖，中号</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11包102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可重复使用导尿管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F18（6），管接头Ф9</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11包103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可重复使用导尿管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F24（8），管接头Ф9</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11包104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可重复使用导尿管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F15（Ф5）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11包105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舌钳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170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11包106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11包107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子宫刮匙</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280×8（8#），锐，环形，六方柄</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11包108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 ，2×3齿，直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11包109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子宫颈钳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 ，2×3齿，侧弯</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11包110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组织镊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140,1*2钩</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11包111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子宫探针</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280，直，带刻度，柔性</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11包112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双翼阴道检查扩张器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90×22，可调式</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11包113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子宫夹持钳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260，直，双爪</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11包114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阑尾肠钳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200×11，直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11包115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双翼阴道手术扩张器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92×34，可调式</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11包116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双翼阴道手术扩张器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92×34，可调式</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11包117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子宫夹持钳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220×90°×50，角弯，镀金圈</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1531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11包118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子宫夹持钳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250×90°×55，角弯，镀金圈</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1531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11包119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止血钳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200，弯，全齿，精细</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11包120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举宫钳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310，简易，钳式，可调式</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565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11包121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眼用剪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100，直尖</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11包122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眼用剪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100，弯尖</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11包123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眼科镊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100，直无钩，无齿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11包124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眼科镊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100，直无钩，有齿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11包125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眼科镊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100，直有钩</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11包126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压舌板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120，直角形</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11包127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舌钳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170，直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11包128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丁字式开口器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130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146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11包129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腹壁牵开器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175×202，双圆梗，双翼，固定式</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633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11包130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取石钳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220×21×5，弯，叠鳃式，有齿，胆</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369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11包131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持骨钳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两齿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549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11包132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持骨钳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四齿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591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11包133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骨科复位钳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190，带尖</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388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11包134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骨把持器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小</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410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11包135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骨把持器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中</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410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11包136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骨把持器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大</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410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11包137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钢针剪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200×Ф1.2</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718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11包138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骨牵引针</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Ф1×180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11包139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骨牵引针</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Ф3.5×250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11包140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骨牵引针</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Ф4×250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11包141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骨牵引针</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Ф1.5×280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11包142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骨牵引针</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Ф2.5×280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11包143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骨刮匙（铝合金柄）</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300×4直形</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410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11包144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骨刮匙</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250×2，直头，枪状，颈椎型，铝合金柄</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462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11包145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骨刮匙</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250×2×45°，单弯，前，枪状，颈椎型，铝合金柄</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515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11包146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骨刮匙</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250×3×15°，单弯，前，枪状，颈椎型，铝合金柄</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515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11包147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骨刮匙</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250×3×20°，单弯，前，枪状，颈椎型，铝合金柄</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515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11包148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神经剥离器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240×5×0.7，带钩，带刃</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11包149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断钉取出器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200，夹持H3-5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760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11包150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植骨器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210×Ф10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237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11包151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植骨器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160×Φ8</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174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11包152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钢丝穿引器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小号</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1562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11包153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椎板咬骨钳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230×2/10×110°，超硬膜，超薄型</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3462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11包154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椎板咬骨钳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230×3/10×110°，超硬膜，超薄型</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3462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11包155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椎板咬骨钳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230×4/10×110°，超硬膜，超薄型</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3462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11包156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椎板咬骨钳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230×2/10×90°，超硬膜，普通型</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3462</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11包157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显微止血夹</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30×1，直，结合式</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81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11包158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肛门探针</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180，双头，头宽2/头宽3</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110.5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根</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11包159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脑吸引管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220×Ф1.5，直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11包160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脑吸引管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220×Ф3，直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11包161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脑吸引管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200×Ф4，直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11包162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脑吸引管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200×Ф5，直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11包163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脑吸引管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260×Φ2  ，斜口，柔性</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11包164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脑吸引管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240×Φ1.5，可控带套</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400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11包165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脑吸引管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240×Φ2.5，可控带套</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400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11包166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组织剪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200，弯</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245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11包167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脑膜剪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180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220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11包168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吸引管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90×2.4</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11包169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平骨凿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200×3，直形，方柄</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400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11包170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骨凿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200×4，直，方柄，半圆</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400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11包171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脑吸引管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270×Φ3，可控带套</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400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11包172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脑吸引管</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270×Φ2，可控带套</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400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11包173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脑压板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200×5×3</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297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11包174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脑压板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200×7×9</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297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11包175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脑压板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200×11×13</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297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11包176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脑压板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200×15×18</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297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11包177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脑压板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200×20×22</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297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11包178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脑压板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230×7×9</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297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11包179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脑压板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230×11×13</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297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11包180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脑压板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200×6，带刻度</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297</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11包181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拉钩</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90×15，头皮</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11包182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拉钩</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200，锐钩、头皮</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123</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11包183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椎板咬骨钳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200×5/10×90°，普通型</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2680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11包184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脑膜镊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200×1×2，大柄花</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480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11包185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脑部直形解剖镊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248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11包186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脑部枪形解剖镊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200×1，大柄花</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480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11包187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精细无齿镊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200，直型，大柄花</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480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11包188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后颅凹牵开器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180×24，活动式4×3钩（活节带齿），头弯8°</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1668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11包189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头皮夹钳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929</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11包190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线锯手把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56</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11包191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线锯导板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340</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68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11包192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抓钳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ZP495RB,330×Φ5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2780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11包193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抓钳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ZP564RB,300×Φ3</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2780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11包194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弯针持针器</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ZP647RN,330×Ф5，指圈式</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4630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11包195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双极电凝钳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ZP405RB,330×Ф5，弯，双动，分离</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13800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11包196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双极电凝钳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ZP407RB,330×Ф5，直，细齿中空，双动，抓取</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13800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11包197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单极高频电缆线</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ZP941,4×3000，单极</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1750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11包198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电凝</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ZP900RN,330×Ф5，钩状</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3000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11包199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单极剪刀</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ZP494RB,330×Φ5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3160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11包200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单极剪刀</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ZP548RB,330×Φ5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3160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11包201</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单极剪刀</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ZP550RB,330×Φ5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3160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11包202</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穿刺针</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ZP017RN,Ф10.5，圆筒式</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4630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11包203</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穿刺针</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ZP019RN,Ф5.5×115，磁性/片阀</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4630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11包204</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穿刺针</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ZP020RN,Ф10.5，圆筒式</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4630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11包205</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穿刺针</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ZP021RN,Ф3，圆筒式</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4630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11包206</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帕巾钳</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160，尖头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11包207</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医用镊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160，直</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30</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11包208</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眼科镊</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100，直无钩，无齿</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34</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11包209</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眼用剪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100，直尖</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78</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11包210</w:t>
            </w:r>
          </w:p>
        </w:tc>
        <w:tc>
          <w:tcPr>
            <w:tcW w:w="241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常规手术器械包</w:t>
            </w:r>
          </w:p>
        </w:tc>
        <w:tc>
          <w:tcPr>
            <w:tcW w:w="193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手术剪</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160，直尖</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75</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把</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r>
              <w:rPr>
                <w:rFonts w:hint="default" w:ascii="宋体" w:hAnsi="宋体"/>
                <w:color w:val="000000"/>
                <w:sz w:val="18"/>
                <w:szCs w:val="24"/>
              </w:rPr>
              <w:t>手术室</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12包1</w:t>
            </w:r>
          </w:p>
        </w:tc>
        <w:tc>
          <w:tcPr>
            <w:tcW w:w="241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通用耗材</w:t>
            </w:r>
          </w:p>
        </w:tc>
        <w:tc>
          <w:tcPr>
            <w:tcW w:w="1935" w:type="dxa"/>
            <w:tcBorders>
              <w:top w:val="single" w:color="auto" w:sz="6" w:space="0"/>
              <w:left w:val="single" w:color="auto" w:sz="6" w:space="0"/>
              <w:bottom w:val="single" w:color="auto" w:sz="6" w:space="0"/>
              <w:right w:val="single" w:color="auto" w:sz="6" w:space="0"/>
              <w:tl2br w:val="nil"/>
              <w:tr2bl w:val="nil"/>
            </w:tcBorders>
            <w:shd w:val="clear" w:color="FF99CC" w:fill="F9FBFA"/>
            <w:noWrap w:val="0"/>
            <w:vAlign w:val="top"/>
          </w:tcPr>
          <w:p>
            <w:pPr>
              <w:shd w:val="clear"/>
              <w:spacing w:beforeLines="0" w:afterLines="0"/>
              <w:jc w:val="center"/>
              <w:rPr>
                <w:rFonts w:hint="default" w:ascii="宋体" w:hAnsi="宋体"/>
                <w:color w:val="000000" w:themeColor="text1"/>
                <w:sz w:val="18"/>
                <w:szCs w:val="24"/>
                <w14:textFill>
                  <w14:solidFill>
                    <w14:schemeClr w14:val="tx1"/>
                  </w14:solidFill>
                </w14:textFill>
              </w:rPr>
            </w:pPr>
            <w:r>
              <w:rPr>
                <w:rFonts w:hint="default" w:ascii="宋体" w:hAnsi="宋体"/>
                <w:color w:val="000000" w:themeColor="text1"/>
                <w:sz w:val="18"/>
                <w:szCs w:val="24"/>
                <w14:textFill>
                  <w14:solidFill>
                    <w14:schemeClr w14:val="tx1"/>
                  </w14:solidFill>
                </w14:textFill>
              </w:rPr>
              <w:t>麻醉回路</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MGC-1.5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41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元/套</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由接头、管道及选配件组成；与医院麻醉科、ICU、急诊室等临床科室的麻醉呼吸机配套使用。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12包2</w:t>
            </w:r>
          </w:p>
        </w:tc>
        <w:tc>
          <w:tcPr>
            <w:tcW w:w="241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通用耗材</w:t>
            </w:r>
          </w:p>
        </w:tc>
        <w:tc>
          <w:tcPr>
            <w:tcW w:w="1935" w:type="dxa"/>
            <w:tcBorders>
              <w:top w:val="single" w:color="auto" w:sz="6" w:space="0"/>
              <w:left w:val="single" w:color="auto" w:sz="6" w:space="0"/>
              <w:bottom w:val="single" w:color="auto" w:sz="6" w:space="0"/>
              <w:right w:val="single" w:color="auto" w:sz="6" w:space="0"/>
              <w:tl2br w:val="nil"/>
              <w:tr2bl w:val="nil"/>
            </w:tcBorders>
            <w:shd w:val="clear" w:color="FF99CC" w:fill="F9FBFA"/>
            <w:noWrap w:val="0"/>
            <w:vAlign w:val="top"/>
          </w:tcPr>
          <w:p>
            <w:pPr>
              <w:shd w:val="clear"/>
              <w:spacing w:beforeLines="0" w:afterLines="0"/>
              <w:jc w:val="center"/>
              <w:rPr>
                <w:rFonts w:hint="default" w:ascii="宋体" w:hAnsi="宋体"/>
                <w:color w:val="000000" w:themeColor="text1"/>
                <w:sz w:val="18"/>
                <w:szCs w:val="24"/>
                <w14:textFill>
                  <w14:solidFill>
                    <w14:schemeClr w14:val="tx1"/>
                  </w14:solidFill>
                </w14:textFill>
              </w:rPr>
            </w:pPr>
            <w:r>
              <w:rPr>
                <w:rFonts w:hint="default" w:ascii="宋体" w:hAnsi="宋体"/>
                <w:color w:val="000000" w:themeColor="text1"/>
                <w:sz w:val="18"/>
                <w:szCs w:val="24"/>
                <w14:textFill>
                  <w14:solidFill>
                    <w14:schemeClr w14:val="tx1"/>
                  </w14:solidFill>
                </w14:textFill>
              </w:rPr>
              <w:t>麻醉回路</w:t>
            </w:r>
          </w:p>
        </w:tc>
        <w:tc>
          <w:tcPr>
            <w:tcW w:w="1591" w:type="dxa"/>
            <w:tcBorders>
              <w:top w:val="single" w:color="auto" w:sz="6" w:space="0"/>
              <w:left w:val="single" w:color="auto" w:sz="6" w:space="0"/>
              <w:bottom w:val="single" w:color="auto" w:sz="6" w:space="0"/>
              <w:right w:val="single" w:color="auto" w:sz="6" w:space="0"/>
              <w:tl2br w:val="nil"/>
              <w:tr2bl w:val="nil"/>
            </w:tcBorders>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MGE-1.5</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41</w:t>
            </w:r>
          </w:p>
        </w:tc>
        <w:tc>
          <w:tcPr>
            <w:tcW w:w="975" w:type="dxa"/>
            <w:tcBorders>
              <w:top w:val="single" w:color="auto" w:sz="6" w:space="0"/>
              <w:left w:val="single" w:color="auto" w:sz="6" w:space="0"/>
              <w:bottom w:val="single" w:color="auto" w:sz="6" w:space="0"/>
              <w:right w:val="single" w:color="auto" w:sz="6" w:space="0"/>
              <w:tl2br w:val="nil"/>
              <w:tr2bl w:val="nil"/>
            </w:tcBorders>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元/套</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全院</w:t>
            </w:r>
          </w:p>
        </w:tc>
        <w:tc>
          <w:tcPr>
            <w:tcW w:w="5189" w:type="dxa"/>
            <w:tcBorders>
              <w:top w:val="single" w:color="auto" w:sz="6" w:space="0"/>
              <w:left w:val="single" w:color="auto" w:sz="6" w:space="0"/>
              <w:bottom w:val="single" w:color="auto" w:sz="6" w:space="0"/>
              <w:right w:val="single" w:color="auto" w:sz="6" w:space="0"/>
              <w:tl2br w:val="nil"/>
              <w:tr2bl w:val="nil"/>
            </w:tcBorders>
            <w:noWrap w:val="0"/>
            <w:vAlign w:val="top"/>
          </w:tcPr>
          <w:p>
            <w:pPr>
              <w:shd w:val="clear"/>
              <w:spacing w:beforeLines="0" w:afterLines="0"/>
              <w:jc w:val="center"/>
              <w:rPr>
                <w:rFonts w:hint="default" w:ascii="宋体" w:hAnsi="宋体"/>
                <w:color w:val="000000"/>
                <w:sz w:val="18"/>
                <w:szCs w:val="24"/>
              </w:rPr>
            </w:pPr>
            <w:r>
              <w:rPr>
                <w:rFonts w:hint="default" w:ascii="宋体" w:hAnsi="宋体"/>
                <w:color w:val="000000"/>
                <w:sz w:val="18"/>
                <w:szCs w:val="24"/>
              </w:rPr>
              <w:t>由接头、管道及选配件组成；与医院麻醉科、ICU、急诊室等临床科室的麻醉呼吸机配套使用。</w:t>
            </w:r>
          </w:p>
        </w:tc>
      </w:tr>
    </w:tbl>
    <w:p>
      <w:pPr>
        <w:shd w:val="clear"/>
        <w:rPr>
          <w:rFonts w:hint="eastAsia" w:ascii="宋体" w:hAnsi="宋体"/>
          <w:b/>
          <w:color w:val="FF0000"/>
          <w:sz w:val="24"/>
          <w:lang w:eastAsia="zh-CN"/>
        </w:rPr>
      </w:pPr>
      <w:r>
        <w:rPr>
          <w:rFonts w:hint="eastAsia" w:ascii="宋体" w:hAnsi="宋体"/>
          <w:b/>
          <w:color w:val="FF0000"/>
          <w:sz w:val="24"/>
          <w:lang w:eastAsia="zh-CN"/>
        </w:rPr>
        <w:t>备注：</w:t>
      </w:r>
    </w:p>
    <w:p>
      <w:pPr>
        <w:jc w:val="both"/>
        <w:rPr>
          <w:rFonts w:hint="eastAsia" w:ascii="宋体" w:hAnsi="宋体"/>
          <w:b/>
          <w:color w:val="FF0000"/>
          <w:sz w:val="24"/>
          <w:lang w:eastAsia="zh-CN"/>
        </w:rPr>
      </w:pPr>
      <w:r>
        <w:rPr>
          <w:rFonts w:hint="eastAsia" w:ascii="宋体" w:hAnsi="宋体"/>
          <w:b/>
          <w:color w:val="FF0000"/>
          <w:sz w:val="24"/>
          <w:lang w:eastAsia="zh-CN"/>
        </w:rPr>
        <w:t>一、打包类产品，需满足包类产品目录90%以上产品（含）。</w:t>
      </w:r>
    </w:p>
    <w:p>
      <w:pPr>
        <w:jc w:val="both"/>
        <w:rPr>
          <w:rFonts w:hint="eastAsia" w:ascii="宋体" w:hAnsi="宋体"/>
          <w:b/>
          <w:color w:val="FF0000"/>
          <w:sz w:val="24"/>
          <w:lang w:eastAsia="zh-CN"/>
        </w:rPr>
      </w:pPr>
      <w:r>
        <w:rPr>
          <w:rFonts w:hint="eastAsia" w:ascii="宋体" w:hAnsi="宋体"/>
          <w:b/>
          <w:color w:val="FF0000"/>
          <w:sz w:val="24"/>
          <w:lang w:eastAsia="zh-CN"/>
        </w:rPr>
        <w:t>二、协议期为</w:t>
      </w:r>
      <w:r>
        <w:rPr>
          <w:rFonts w:hint="eastAsia" w:ascii="宋体" w:hAnsi="宋体"/>
          <w:b/>
          <w:color w:val="FF0000"/>
          <w:sz w:val="24"/>
          <w:u w:val="single"/>
          <w:lang w:val="en-US" w:eastAsia="zh-CN"/>
        </w:rPr>
        <w:t>18</w:t>
      </w:r>
      <w:r>
        <w:rPr>
          <w:rFonts w:hint="eastAsia" w:ascii="宋体" w:hAnsi="宋体"/>
          <w:b/>
          <w:color w:val="FF0000"/>
          <w:sz w:val="24"/>
          <w:lang w:eastAsia="zh-CN"/>
        </w:rPr>
        <w:t>个月，协议内的物资品种和数量仅作为双方意向采购的参考，不作为双方的成交依据，最终成交物资品种和数量以甲方实际下单采购为准。</w:t>
      </w:r>
    </w:p>
    <w:p>
      <w:pPr>
        <w:pStyle w:val="2"/>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三、若投标报价高于最高限价（单价），则此投标报价无效。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四、</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pStyle w:val="2"/>
        <w:ind w:left="0" w:leftChars="0" w:firstLine="0" w:firstLineChars="0"/>
        <w:jc w:val="both"/>
        <w:rPr>
          <w:rFonts w:hint="default"/>
          <w:lang w:val="en-US" w:eastAsia="zh-CN"/>
        </w:rPr>
      </w:pPr>
      <w:r>
        <w:rPr>
          <w:rFonts w:hint="eastAsia" w:ascii="宋体" w:hAnsi="宋体"/>
          <w:b/>
          <w:color w:val="FF0000"/>
          <w:sz w:val="24"/>
          <w:lang w:eastAsia="zh-CN"/>
        </w:rPr>
        <w:t>五、需求单位：北京中医药大学深圳医院（龙岗）。</w:t>
      </w:r>
    </w:p>
    <w:p>
      <w:pPr>
        <w:pStyle w:val="13"/>
        <w:rPr>
          <w:rFonts w:ascii="宋体" w:hAnsi="宋体"/>
          <w:b/>
          <w:color w:val="FF0000"/>
          <w:sz w:val="24"/>
        </w:rPr>
      </w:pPr>
    </w:p>
    <w:p>
      <w:pPr>
        <w:rPr>
          <w:rFonts w:hint="eastAsia" w:ascii="宋体" w:hAnsi="宋体" w:eastAsia="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p>
    <w:p>
      <w:pPr>
        <w:rPr>
          <w:rFonts w:ascii="宋体" w:hAnsi="宋体" w:cs="宋体"/>
          <w:szCs w:val="21"/>
        </w:rPr>
      </w:pP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9"/>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如国家药品监督管理局(</w:t>
            </w:r>
            <w:r>
              <w:rPr>
                <w:rFonts w:hint="eastAsia"/>
                <w:lang w:val="en-US" w:eastAsia="zh-CN"/>
              </w:rPr>
              <w:fldChar w:fldCharType="begin"/>
            </w:r>
            <w:r>
              <w:rPr>
                <w:rFonts w:hint="eastAsia"/>
                <w:lang w:val="en-US" w:eastAsia="zh-CN"/>
              </w:rPr>
              <w:instrText xml:space="preserve"> HYPERLINK "http://app1.nmpa.gov.cn/data_nmpa/face3/dir.html?type=ylqx" </w:instrText>
            </w:r>
            <w:r>
              <w:rPr>
                <w:rFonts w:hint="eastAsia"/>
                <w:lang w:val="en-US" w:eastAsia="zh-CN"/>
              </w:rPr>
              <w:fldChar w:fldCharType="separate"/>
            </w:r>
            <w:r>
              <w:rPr>
                <w:rFonts w:hint="eastAsia"/>
                <w:lang w:val="en-US" w:eastAsia="zh-CN"/>
              </w:rPr>
              <w:t>http://app1.nmpa.gov.cn/data_nmpa/face3/dir.html?type=ylqx</w:t>
            </w:r>
            <w:r>
              <w:rPr>
                <w:rFonts w:hint="eastAsia"/>
                <w:lang w:val="en-US" w:eastAsia="zh-CN"/>
              </w:rPr>
              <w:fldChar w:fldCharType="end"/>
            </w:r>
            <w:r>
              <w:rPr>
                <w:rFonts w:hint="eastAsia"/>
                <w:lang w:val="en-US" w:eastAsia="zh-CN"/>
              </w:rPr>
              <w:t xml:space="preserve"> )；无需医疗器械注册证的必须提供相关证明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厂家承诺函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广东省内三甲医院使用证明（使用证明仅限含所投产品规格型号、价格的发票、合同，中标通知书，有效时间为2020年起至今）</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楼设备科</w:t>
            </w:r>
            <w:r>
              <w:rPr>
                <w:rFonts w:hint="eastAsia"/>
                <w:lang w:val="en-US" w:eastAsia="zh-CN"/>
              </w:rPr>
              <w:t>317</w:t>
            </w:r>
            <w:r>
              <w:rPr>
                <w:rFonts w:hint="default"/>
              </w:rPr>
              <w:t>室</w:t>
            </w:r>
            <w:r>
              <w:rPr>
                <w:rFonts w:hint="eastAsia"/>
                <w:lang w:eastAsia="zh-CN"/>
              </w:rPr>
              <w:t>招标采购办公室廖老师处</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1份公司要素自评表（密封1）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2"/>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2"/>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”所列顺序装订，并在每个投标产品材料的右上角编上产品序号和招标目录序号（必须与《投标产品目录采集表》一致，按“产品序号即流水号  ；招标目录序号 ”形式编写，</w:t>
            </w:r>
            <w:r>
              <w:rPr>
                <w:rFonts w:hint="eastAsia"/>
                <w:b/>
                <w:sz w:val="20"/>
                <w:szCs w:val="20"/>
              </w:rPr>
              <w:t>例如：“1；22”</w:t>
            </w:r>
            <w:r>
              <w:rPr>
                <w:rFonts w:hint="eastAsia"/>
                <w:sz w:val="20"/>
                <w:szCs w:val="20"/>
              </w:rPr>
              <w:t>，可手写）。</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1"/>
        <w:gridCol w:w="2148"/>
        <w:gridCol w:w="3345"/>
        <w:gridCol w:w="3203"/>
        <w:gridCol w:w="785"/>
        <w:gridCol w:w="785"/>
        <w:gridCol w:w="785"/>
        <w:gridCol w:w="785"/>
        <w:gridCol w:w="785"/>
        <w:gridCol w:w="785"/>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9"/>
        <w:tblpPr w:leftFromText="180" w:rightFromText="180" w:vertAnchor="text" w:horzAnchor="page" w:tblpX="1021" w:tblpY="93"/>
        <w:tblOverlap w:val="never"/>
        <w:tblW w:w="0" w:type="auto"/>
        <w:tblInd w:w="0" w:type="dxa"/>
        <w:tblLayout w:type="autofit"/>
        <w:tblCellMar>
          <w:top w:w="0" w:type="dxa"/>
          <w:left w:w="108" w:type="dxa"/>
          <w:bottom w:w="0" w:type="dxa"/>
          <w:right w:w="108" w:type="dxa"/>
        </w:tblCellMar>
      </w:tblPr>
      <w:tblGrid>
        <w:gridCol w:w="3529"/>
        <w:gridCol w:w="941"/>
        <w:gridCol w:w="1043"/>
        <w:gridCol w:w="740"/>
        <w:gridCol w:w="740"/>
        <w:gridCol w:w="791"/>
        <w:gridCol w:w="841"/>
        <w:gridCol w:w="740"/>
        <w:gridCol w:w="942"/>
        <w:gridCol w:w="1484"/>
        <w:gridCol w:w="1457"/>
        <w:gridCol w:w="1283"/>
        <w:gridCol w:w="538"/>
      </w:tblGrid>
      <w:tr>
        <w:tblPrEx>
          <w:tblCellMar>
            <w:top w:w="0" w:type="dxa"/>
            <w:left w:w="108" w:type="dxa"/>
            <w:bottom w:w="0" w:type="dxa"/>
            <w:right w:w="108" w:type="dxa"/>
          </w:tblCellMar>
        </w:tblPrEx>
        <w:trPr>
          <w:trHeight w:val="229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历史采购项目名称</w:t>
            </w:r>
          </w:p>
        </w:tc>
        <w:tc>
          <w:tcPr>
            <w:tcW w:w="10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产品注册证名称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注册证号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生产企业</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产地/品牌</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注册证规格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包装规格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lang w:eastAsia="zh-CN"/>
              </w:rPr>
              <w:t>最小计量</w:t>
            </w:r>
            <w:r>
              <w:rPr>
                <w:rFonts w:hint="eastAsia" w:ascii="宋体" w:hAnsi="宋体" w:cs="宋体"/>
                <w:b/>
                <w:bCs/>
                <w:color w:val="000000"/>
                <w:kern w:val="0"/>
                <w:sz w:val="22"/>
                <w:szCs w:val="22"/>
              </w:rPr>
              <w:t>单位</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val="en-US" w:eastAsia="zh-CN" w:bidi="ar-SA"/>
              </w:rPr>
              <w:t>市阳光平台价（元）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szCs w:val="21"/>
                <w:lang w:eastAsia="zh-CN"/>
              </w:rPr>
              <w:t>挂网限价</w:t>
            </w:r>
            <w:r>
              <w:rPr>
                <w:rFonts w:hint="eastAsia" w:ascii="宋体" w:hAnsi="宋体" w:cs="宋体"/>
                <w:b/>
                <w:bCs/>
                <w:color w:val="FF0000"/>
                <w:szCs w:val="21"/>
              </w:rPr>
              <w:t>金额</w:t>
            </w:r>
            <w:r>
              <w:rPr>
                <w:rFonts w:hint="eastAsia" w:ascii="宋体" w:hAnsi="宋体" w:cs="宋体"/>
                <w:b/>
                <w:bCs/>
                <w:color w:val="FF0000"/>
                <w:kern w:val="0"/>
                <w:sz w:val="22"/>
                <w:szCs w:val="22"/>
              </w:rPr>
              <w:t>（元）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备注</w:t>
            </w:r>
          </w:p>
        </w:tc>
      </w:tr>
      <w:tr>
        <w:tblPrEx>
          <w:tblCellMar>
            <w:top w:w="0" w:type="dxa"/>
            <w:left w:w="108" w:type="dxa"/>
            <w:bottom w:w="0" w:type="dxa"/>
            <w:right w:w="108" w:type="dxa"/>
          </w:tblCellMar>
        </w:tblPrEx>
        <w:trPr>
          <w:trHeight w:val="55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10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val="en-US" w:eastAsia="zh-CN" w:bidi="ar-SA"/>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2"/>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2.产品报价为一次性报价</w:t>
      </w:r>
    </w:p>
    <w:p>
      <w:pPr>
        <w:pStyle w:val="2"/>
        <w:numPr>
          <w:ilvl w:val="0"/>
          <w:numId w:val="0"/>
        </w:numPr>
        <w:ind w:firstLine="422" w:firstLineChars="200"/>
        <w:rPr>
          <w:rFonts w:hint="eastAsia"/>
          <w:b/>
          <w:bCs w:val="0"/>
          <w:color w:val="FF0000"/>
          <w:lang w:val="en-US" w:eastAsia="zh-CN"/>
        </w:rPr>
      </w:pPr>
      <w:r>
        <w:rPr>
          <w:rFonts w:hint="eastAsia"/>
          <w:b/>
          <w:bCs w:val="0"/>
          <w:color w:val="FF0000"/>
          <w:lang w:val="en-US" w:eastAsia="zh-CN"/>
        </w:rPr>
        <w:t>3.带excel版产品报价及采购文件PDF电子版（u盘，招标现场上交）</w:t>
      </w:r>
    </w:p>
    <w:p>
      <w:pPr>
        <w:widowControl/>
        <w:jc w:val="left"/>
        <w:rPr>
          <w:rFonts w:hint="eastAsia"/>
        </w:rPr>
      </w:pPr>
      <w:r>
        <w:rPr>
          <w:rFonts w:ascii="宋体" w:hAnsi="宋体"/>
          <w:sz w:val="24"/>
        </w:rPr>
        <w:br w:type="page"/>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1071"/>
        <w:gridCol w:w="914"/>
        <w:gridCol w:w="4260"/>
        <w:gridCol w:w="2170"/>
        <w:gridCol w:w="2287"/>
        <w:gridCol w:w="296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XX公司分值要素评判表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643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40</w:t>
            </w:r>
            <w:r>
              <w:rPr>
                <w:rFonts w:hint="eastAsia" w:ascii="宋体" w:hAnsi="宋体" w:eastAsia="宋体" w:cs="宋体"/>
                <w:b/>
                <w:bCs/>
                <w:i w:val="0"/>
                <w:iCs w:val="0"/>
                <w:color w:val="000000"/>
                <w:kern w:val="0"/>
                <w:sz w:val="24"/>
                <w:szCs w:val="24"/>
                <w:u w:val="none"/>
                <w:lang w:val="en-US" w:eastAsia="zh-CN" w:bidi="ar"/>
              </w:rPr>
              <w:t>分）</w:t>
            </w:r>
          </w:p>
        </w:tc>
        <w:tc>
          <w:tcPr>
            <w:tcW w:w="5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配送/售后服务（10分）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投标产品在市阳光平台配送关系设置</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5分</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5分</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使用证明仅限含投标产品规格型号、价格的发票、合同、中标通知书。（广东省外不得分）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20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全部满足</w:t>
            </w:r>
            <w:r>
              <w:rPr>
                <w:rFonts w:hint="eastAsia" w:ascii="宋体" w:hAnsi="宋体" w:cs="宋体"/>
                <w:i w:val="0"/>
                <w:iCs w:val="0"/>
                <w:color w:val="000000"/>
                <w:kern w:val="0"/>
                <w:sz w:val="22"/>
                <w:szCs w:val="22"/>
                <w:u w:val="none"/>
                <w:lang w:val="en-US" w:eastAsia="zh-CN" w:bidi="ar"/>
              </w:rPr>
              <w:t>20</w:t>
            </w:r>
            <w:r>
              <w:rPr>
                <w:rFonts w:hint="eastAsia" w:ascii="宋体" w:hAnsi="宋体" w:eastAsia="宋体" w:cs="宋体"/>
                <w:i w:val="0"/>
                <w:iCs w:val="0"/>
                <w:color w:val="000000"/>
                <w:kern w:val="0"/>
                <w:sz w:val="22"/>
                <w:szCs w:val="22"/>
                <w:u w:val="none"/>
                <w:lang w:val="en-US" w:eastAsia="zh-CN" w:bidi="ar"/>
              </w:rPr>
              <w:t>分，满足50%以上得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分，其余不得分</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1、根据《售后服务响应表》打分，满分5分，负偏离1项扣0.5分，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扣完为止。</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2、仓库地址，满分5分：                         龙岗设立仓库得5分，深圳市内设立仓库得3分，广东省内深圳市外得1分，其余不得分</w:t>
            </w: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公司自行研判</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分值</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打印设置关系表且可附承诺函</w:t>
            </w: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2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6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2"/>
        <w:ind w:left="0" w:leftChars="0" w:firstLine="0" w:firstLineChars="0"/>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eastAsia="zh-CN"/>
        </w:rPr>
        <w:t>附：</w:t>
      </w:r>
      <w:r>
        <w:rPr>
          <w:rFonts w:hint="eastAsia"/>
        </w:rPr>
        <w:t>佐证材料（名单中使用客户使用证明+售后服务响应表+住所信息对应证件复印件）</w:t>
      </w:r>
    </w:p>
    <w:p>
      <w:pPr>
        <w:pStyle w:val="2"/>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5"/>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2022</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17"/>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17"/>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17"/>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17"/>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17"/>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17"/>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17"/>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17"/>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投标授权书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授权公司名称（盖章）：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widowControl/>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sz w:val="24"/>
        </w:rPr>
      </w:pPr>
      <w:r>
        <w:rPr>
          <w:rFonts w:hint="eastAsia" w:ascii="宋体" w:hAnsi="宋体" w:cs="宋体"/>
          <w:b/>
          <w:bCs/>
          <w:sz w:val="24"/>
        </w:rPr>
        <w:t>致：北京中医药大学深圳医院（龙岗）</w:t>
      </w:r>
    </w:p>
    <w:tbl>
      <w:tblPr>
        <w:tblStyle w:val="10"/>
        <w:tblpPr w:leftFromText="180" w:rightFromText="180" w:vertAnchor="text" w:horzAnchor="margin" w:tblpXSpec="center" w:tblpY="99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92"/>
        <w:gridCol w:w="1276"/>
        <w:gridCol w:w="326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序号</w:t>
            </w:r>
          </w:p>
        </w:tc>
        <w:tc>
          <w:tcPr>
            <w:tcW w:w="1692" w:type="dxa"/>
            <w:vAlign w:val="center"/>
          </w:tcPr>
          <w:p>
            <w:pPr>
              <w:spacing w:line="500" w:lineRule="atLeast"/>
              <w:ind w:firstLine="240" w:firstLineChars="100"/>
              <w:rPr>
                <w:rFonts w:ascii="宋体" w:hAnsi="宋体" w:cs="宋体"/>
                <w:kern w:val="0"/>
                <w:sz w:val="24"/>
              </w:rPr>
            </w:pPr>
            <w:r>
              <w:rPr>
                <w:rFonts w:hint="eastAsia" w:ascii="宋体" w:hAnsi="宋体" w:cs="宋体"/>
                <w:kern w:val="0"/>
                <w:sz w:val="24"/>
              </w:rPr>
              <w:t>投标产品</w:t>
            </w:r>
          </w:p>
        </w:tc>
        <w:tc>
          <w:tcPr>
            <w:tcW w:w="1276" w:type="dxa"/>
            <w:vAlign w:val="center"/>
          </w:tcPr>
          <w:p>
            <w:pPr>
              <w:spacing w:line="500" w:lineRule="atLeast"/>
              <w:jc w:val="center"/>
              <w:rPr>
                <w:rFonts w:ascii="宋体" w:hAnsi="宋体" w:cs="宋体"/>
                <w:kern w:val="0"/>
                <w:sz w:val="24"/>
              </w:rPr>
            </w:pPr>
            <w:r>
              <w:rPr>
                <w:rFonts w:hint="eastAsia" w:ascii="宋体" w:hAnsi="宋体" w:cs="宋体"/>
                <w:kern w:val="0"/>
                <w:sz w:val="24"/>
              </w:rPr>
              <w:t>品牌</w:t>
            </w:r>
          </w:p>
        </w:tc>
        <w:tc>
          <w:tcPr>
            <w:tcW w:w="3260" w:type="dxa"/>
            <w:vAlign w:val="center"/>
          </w:tcPr>
          <w:p>
            <w:pPr>
              <w:spacing w:line="500" w:lineRule="atLeast"/>
              <w:ind w:firstLine="360" w:firstLineChars="150"/>
              <w:rPr>
                <w:rFonts w:ascii="宋体" w:hAnsi="宋体" w:cs="宋体"/>
                <w:kern w:val="0"/>
                <w:sz w:val="24"/>
              </w:rPr>
            </w:pPr>
            <w:r>
              <w:rPr>
                <w:rFonts w:hint="eastAsia" w:ascii="宋体" w:hAnsi="宋体" w:cs="宋体"/>
                <w:kern w:val="0"/>
                <w:sz w:val="24"/>
              </w:rPr>
              <w:t>医院名称（至少三家）</w:t>
            </w:r>
          </w:p>
        </w:tc>
        <w:tc>
          <w:tcPr>
            <w:tcW w:w="2693" w:type="dxa"/>
            <w:vAlign w:val="center"/>
          </w:tcPr>
          <w:p>
            <w:pPr>
              <w:spacing w:line="500" w:lineRule="atLeast"/>
              <w:rPr>
                <w:rFonts w:ascii="宋体" w:hAnsi="宋体" w:cs="宋体"/>
                <w:kern w:val="0"/>
                <w:sz w:val="24"/>
              </w:rPr>
            </w:pPr>
            <w:r>
              <w:rPr>
                <w:rFonts w:hint="eastAsia" w:ascii="宋体" w:hAnsi="宋体" w:cs="宋体"/>
                <w:kern w:val="0"/>
                <w:sz w:val="24"/>
              </w:rPr>
              <w:t>是否有发票/合同证明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1</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2</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3</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4</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bl>
    <w:p>
      <w:pPr>
        <w:spacing w:line="500" w:lineRule="atLeast"/>
        <w:rPr>
          <w:rFonts w:ascii="宋体" w:hAnsi="宋体" w:cs="宋体"/>
          <w:sz w:val="24"/>
        </w:rPr>
      </w:pPr>
      <w:r>
        <w:rPr>
          <w:rFonts w:hint="eastAsia" w:ascii="宋体" w:hAnsi="宋体" w:cs="宋体"/>
          <w:sz w:val="24"/>
        </w:rPr>
        <w:t>我公司承诺以下三甲医院有两年在用我公司生产的品牌产品。</w:t>
      </w:r>
    </w:p>
    <w:p>
      <w:pPr>
        <w:spacing w:line="500" w:lineRule="atLeast"/>
        <w:rPr>
          <w:rFonts w:ascii="宋体" w:hAnsi="宋体" w:cs="宋体"/>
          <w:sz w:val="24"/>
        </w:rPr>
      </w:pPr>
      <w:r>
        <w:rPr>
          <w:rFonts w:hint="eastAsia" w:ascii="宋体" w:hAnsi="宋体" w:cs="宋体"/>
          <w:sz w:val="24"/>
        </w:rPr>
        <w:t>备注：“投标产品品牌”要根据投标产品报价</w:t>
      </w:r>
      <w:r>
        <w:rPr>
          <w:rFonts w:ascii="宋体" w:hAnsi="宋体" w:cs="宋体"/>
          <w:sz w:val="24"/>
        </w:rPr>
        <w:t>表</w:t>
      </w:r>
      <w:r>
        <w:rPr>
          <w:rFonts w:hint="eastAsia" w:ascii="宋体" w:hAnsi="宋体" w:cs="宋体"/>
          <w:sz w:val="24"/>
        </w:rPr>
        <w:t>的目录顺序进行提供，优先填写深圳市/广东省三甲医院客户。</w:t>
      </w:r>
    </w:p>
    <w:p>
      <w:pPr>
        <w:spacing w:line="500" w:lineRule="atLeast"/>
        <w:ind w:firstLine="360" w:firstLineChars="150"/>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如提供虚假信息，我公司将自动放弃在贵院的投标资格。</w:t>
      </w: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720" w:firstLineChars="1550"/>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rPr>
          <w:rFonts w:ascii="宋体" w:hAnsi="宋体" w:cs="宋体"/>
          <w:sz w:val="24"/>
        </w:rPr>
      </w:pPr>
      <w:r>
        <w:rPr>
          <w:rFonts w:hint="eastAsia" w:ascii="宋体" w:hAnsi="宋体" w:cs="宋体"/>
          <w:sz w:val="24"/>
        </w:rPr>
        <w:t>日期：    年   月   日</w:t>
      </w:r>
    </w:p>
    <w:p>
      <w:pPr>
        <w:widowControl/>
        <w:jc w:val="left"/>
        <w:rPr>
          <w:b/>
          <w:sz w:val="52"/>
          <w:szCs w:val="52"/>
          <w:lang w:val="zh-CN"/>
        </w:rPr>
      </w:pPr>
    </w:p>
    <w:p>
      <w:pPr>
        <w:widowControl/>
        <w:jc w:val="left"/>
        <w:rPr>
          <w:b/>
          <w:sz w:val="52"/>
          <w:szCs w:val="52"/>
          <w:lang w:val="zh-CN"/>
        </w:rPr>
      </w:pPr>
    </w:p>
    <w:p>
      <w:pPr>
        <w:tabs>
          <w:tab w:val="left" w:pos="4860"/>
          <w:tab w:val="left" w:pos="5400"/>
          <w:tab w:val="left" w:pos="5580"/>
        </w:tabs>
        <w:rPr>
          <w:rFonts w:ascii="仿宋_GB2312" w:eastAsia="仿宋_GB2312"/>
          <w:bCs/>
        </w:rPr>
      </w:pPr>
      <w:r>
        <w:rPr>
          <w:b/>
          <w:sz w:val="52"/>
          <w:szCs w:val="52"/>
          <w:lang w:val="zh-CN"/>
        </w:rPr>
        <w:br w:type="page"/>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00" w:lineRule="atLeast"/>
        <w:ind w:firstLine="482" w:firstLineChars="200"/>
        <w:rPr>
          <w:rFonts w:ascii="宋体" w:hAnsi="宋体" w:cs="宋体"/>
          <w:b/>
          <w:bCs/>
          <w:sz w:val="24"/>
        </w:rPr>
      </w:pPr>
    </w:p>
    <w:p>
      <w:pPr>
        <w:spacing w:line="520" w:lineRule="exact"/>
        <w:ind w:firstLine="482" w:firstLineChars="200"/>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3、我公司保证报名开始前二年内，在生产和经营活动中无严重违法违纪记录，投标产品无不良记录，否则将自动弃标。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1、我公司保证供货产品的实际品牌、规格型号、生产厂家、质量与投标文件内所投产品描述一致；供货产品确保最新生产批号，绝不提供过期或即将过期的产品。否则，贵院有权单方面拒绝收货。</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ind w:right="1049"/>
        <w:rPr>
          <w:rFonts w:ascii="黑体" w:eastAsia="黑体"/>
          <w:bCs/>
          <w:sz w:val="36"/>
          <w:szCs w:val="36"/>
        </w:rPr>
      </w:pPr>
    </w:p>
    <w:p>
      <w:pPr>
        <w:adjustRightInd w:val="0"/>
        <w:ind w:right="1049"/>
        <w:rPr>
          <w:rFonts w:ascii="黑体" w:eastAsia="黑体"/>
          <w:bCs/>
          <w:sz w:val="36"/>
          <w:szCs w:val="36"/>
        </w:rPr>
      </w:pPr>
    </w:p>
    <w:p>
      <w:pPr>
        <w:adjustRightInd w:val="0"/>
        <w:ind w:right="1049"/>
        <w:rPr>
          <w:rFonts w:ascii="黑体" w:eastAsia="黑体"/>
          <w:bCs/>
          <w:sz w:val="36"/>
          <w:szCs w:val="36"/>
        </w:rPr>
      </w:pPr>
    </w:p>
    <w:p>
      <w:pPr>
        <w:adjustRightInd w:val="0"/>
        <w:ind w:firstLine="180" w:firstLineChars="56"/>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ind w:firstLine="179" w:firstLineChars="56"/>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我司承诺若本次深圳市龙岗区公立医院医用耗材联合采购项目（编号：         ）中选后将严格按照深圳市医保局要求，所有中选产品必须30天内在深圳医用耗材阳光交易和监管平台与北京中医药大学深圳医院（龙岗）签订合同。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如因我司或代理品牌厂家原因未能在规定时间内成功签订合同，同意北京中医药大学深圳医院（龙岗）取消我司中选资格，原合同可自动失效。</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9"/>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2021</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tbl>
      <w:tblPr>
        <w:tblStyle w:val="9"/>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shd w:val="clear" w:color="auto" w:fill="auto"/>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shd w:val="clear" w:color="auto" w:fill="auto"/>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9"/>
        <w:numPr>
          <w:ilvl w:val="0"/>
          <w:numId w:val="0"/>
        </w:numPr>
        <w:spacing w:line="320" w:lineRule="exact"/>
        <w:ind w:leftChars="0"/>
        <w:jc w:val="both"/>
        <w:rPr>
          <w:b/>
          <w:sz w:val="32"/>
          <w:szCs w:val="32"/>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评标定标</w:t>
      </w:r>
      <w:r>
        <w:rPr>
          <w:b/>
          <w:sz w:val="32"/>
          <w:szCs w:val="32"/>
        </w:rPr>
        <w:t>方式</w:t>
      </w:r>
    </w:p>
    <w:p>
      <w:pPr>
        <w:spacing w:line="320" w:lineRule="exact"/>
        <w:ind w:firstLine="480" w:firstLineChars="1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评标定标方式：综合评分+竞价的采购方式。</w:t>
      </w:r>
    </w:p>
    <w:p>
      <w:pPr>
        <w:spacing w:line="320" w:lineRule="exact"/>
        <w:ind w:firstLine="480" w:firstLineChars="15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、评标委员会根据招标文件的评审方法，评选出除价格分外综合得分最高的前</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3名供应商。</w:t>
      </w:r>
    </w:p>
    <w:p>
      <w:pPr>
        <w:spacing w:line="320" w:lineRule="exact"/>
        <w:ind w:firstLine="480" w:firstLineChars="150"/>
        <w:rPr>
          <w:rFonts w:ascii="仿宋_GB2312" w:hAnsi="宋体" w:eastAsia="仿宋_GB2312"/>
          <w:sz w:val="30"/>
          <w:szCs w:val="30"/>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、第一轮综合得分最高前</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3名供应商在1分钟内竞价，最终报价最低为中标供应商，最终报价次低为备选供应商。</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9"/>
        <w:tblpPr w:leftFromText="180" w:rightFromText="180" w:vertAnchor="text" w:horzAnchor="page" w:tblpX="1290" w:tblpY="243"/>
        <w:tblOverlap w:val="never"/>
        <w:tblW w:w="4966" w:type="pct"/>
        <w:tblInd w:w="0" w:type="dxa"/>
        <w:tblLayout w:type="autofit"/>
        <w:tblCellMar>
          <w:top w:w="0" w:type="dxa"/>
          <w:left w:w="108" w:type="dxa"/>
          <w:bottom w:w="0" w:type="dxa"/>
          <w:right w:w="108" w:type="dxa"/>
        </w:tblCellMar>
      </w:tblPr>
      <w:tblGrid>
        <w:gridCol w:w="1329"/>
        <w:gridCol w:w="1266"/>
        <w:gridCol w:w="1560"/>
        <w:gridCol w:w="1776"/>
        <w:gridCol w:w="1244"/>
        <w:gridCol w:w="2084"/>
        <w:gridCol w:w="670"/>
      </w:tblGrid>
      <w:tr>
        <w:tblPrEx>
          <w:tblCellMar>
            <w:top w:w="0" w:type="dxa"/>
            <w:left w:w="108" w:type="dxa"/>
            <w:bottom w:w="0" w:type="dxa"/>
            <w:right w:w="108" w:type="dxa"/>
          </w:tblCellMar>
        </w:tblPrEx>
        <w:trPr>
          <w:trHeight w:val="90" w:hRule="atLeast"/>
        </w:trPr>
        <w:tc>
          <w:tcPr>
            <w:tcW w:w="6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40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10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8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62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投标产品在市阳光平台配送关系设置</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9"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8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使用证明仅限含投标产品规格型号、价格的发票、合同、中标通知书。</w:t>
            </w:r>
            <w:r>
              <w:rPr>
                <w:rFonts w:hint="eastAsia" w:ascii="宋体" w:hAnsi="宋体" w:cs="宋体"/>
                <w:kern w:val="0"/>
                <w:sz w:val="18"/>
                <w:szCs w:val="18"/>
                <w:lang w:eastAsia="zh-CN"/>
              </w:rPr>
              <w:t>（广东省外不得分）</w:t>
            </w:r>
          </w:p>
        </w:tc>
        <w:tc>
          <w:tcPr>
            <w:tcW w:w="6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打印产品在市阳光平台配送关系设置关系表</w:t>
            </w:r>
            <w:r>
              <w:rPr>
                <w:rFonts w:hint="eastAsia" w:ascii="宋体" w:hAnsi="宋体" w:cs="宋体"/>
                <w:kern w:val="0"/>
                <w:sz w:val="18"/>
                <w:szCs w:val="18"/>
              </w:rPr>
              <w:t>。</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5</w:t>
            </w:r>
            <w:r>
              <w:rPr>
                <w:rFonts w:hint="eastAsia" w:ascii="宋体" w:hAnsi="宋体" w:cs="宋体"/>
                <w:kern w:val="0"/>
                <w:sz w:val="18"/>
                <w:szCs w:val="18"/>
              </w:rPr>
              <w:t>分，负偏离1项扣</w:t>
            </w:r>
            <w:r>
              <w:rPr>
                <w:rFonts w:hint="eastAsia" w:ascii="宋体" w:hAnsi="宋体" w:cs="宋体"/>
                <w:kern w:val="0"/>
                <w:sz w:val="18"/>
                <w:szCs w:val="18"/>
                <w:lang w:val="en-US" w:eastAsia="zh-CN"/>
              </w:rPr>
              <w:t>0.5</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894"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20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ascii="宋体" w:hAnsi="宋体" w:cs="宋体"/>
                <w:kern w:val="0"/>
                <w:sz w:val="24"/>
              </w:rPr>
            </w:pPr>
            <w:r>
              <w:rPr>
                <w:rFonts w:hint="eastAsia" w:ascii="宋体" w:hAnsi="宋体" w:cs="宋体"/>
                <w:kern w:val="0"/>
                <w:sz w:val="24"/>
              </w:rPr>
              <w:t>　</w:t>
            </w:r>
          </w:p>
        </w:tc>
        <w:tc>
          <w:tcPr>
            <w:tcW w:w="62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全部满足</w:t>
            </w:r>
            <w:r>
              <w:rPr>
                <w:rFonts w:hint="eastAsia" w:ascii="宋体" w:hAnsi="宋体" w:cs="宋体"/>
                <w:kern w:val="0"/>
                <w:sz w:val="18"/>
                <w:szCs w:val="18"/>
                <w:lang w:val="en-US" w:eastAsia="zh-CN"/>
              </w:rPr>
              <w:t>20分</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5</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3</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广东省内深圳市外得1分，其余不得分</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894" w:type="pct"/>
            <w:vMerge w:val="continue"/>
            <w:tcBorders>
              <w:left w:val="nil"/>
              <w:right w:val="single" w:color="auto" w:sz="4" w:space="0"/>
            </w:tcBorders>
            <w:shd w:val="clear" w:color="auto" w:fill="auto"/>
            <w:vAlign w:val="center"/>
          </w:tcPr>
          <w:p>
            <w:pPr>
              <w:widowControl/>
              <w:jc w:val="left"/>
              <w:rPr>
                <w:rFonts w:ascii="宋体" w:hAnsi="宋体" w:cs="宋体"/>
                <w:kern w:val="0"/>
                <w:sz w:val="24"/>
              </w:rPr>
            </w:pPr>
          </w:p>
        </w:tc>
        <w:tc>
          <w:tcPr>
            <w:tcW w:w="62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满足</w:t>
            </w:r>
            <w:r>
              <w:rPr>
                <w:rFonts w:hint="eastAsia" w:ascii="宋体" w:hAnsi="宋体" w:cs="宋体"/>
                <w:kern w:val="0"/>
                <w:sz w:val="18"/>
                <w:szCs w:val="18"/>
                <w:lang w:val="en-US" w:eastAsia="zh-CN"/>
              </w:rPr>
              <w:t>50%以上得10分</w:t>
            </w: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894" w:type="pct"/>
            <w:vMerge w:val="continue"/>
            <w:tcBorders>
              <w:left w:val="nil"/>
              <w:right w:val="single" w:color="auto" w:sz="4" w:space="0"/>
            </w:tcBorders>
            <w:shd w:val="clear" w:color="auto" w:fill="auto"/>
            <w:vAlign w:val="center"/>
          </w:tcPr>
          <w:p>
            <w:pPr>
              <w:widowControl/>
              <w:jc w:val="left"/>
              <w:rPr>
                <w:rFonts w:ascii="宋体" w:hAnsi="宋体" w:cs="宋体"/>
                <w:kern w:val="0"/>
                <w:sz w:val="24"/>
              </w:rPr>
            </w:pPr>
          </w:p>
        </w:tc>
        <w:tc>
          <w:tcPr>
            <w:tcW w:w="626"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其余不得分</w:t>
            </w: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894"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626"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839"/>
        </w:tabs>
        <w:bidi w:val="0"/>
        <w:jc w:val="left"/>
        <w:rPr>
          <w:lang w:val="en-US" w:eastAsia="zh-CN"/>
        </w:rPr>
      </w:pPr>
    </w:p>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D23F4"/>
    <w:multiLevelType w:val="singleLevel"/>
    <w:tmpl w:val="44ED23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6A4909"/>
    <w:rsid w:val="045A3810"/>
    <w:rsid w:val="04C0137C"/>
    <w:rsid w:val="05832C09"/>
    <w:rsid w:val="081B13AB"/>
    <w:rsid w:val="0AF26B57"/>
    <w:rsid w:val="0CE3566F"/>
    <w:rsid w:val="0E256A4A"/>
    <w:rsid w:val="0E620EE2"/>
    <w:rsid w:val="0EC23417"/>
    <w:rsid w:val="0F243DDF"/>
    <w:rsid w:val="0F5A654A"/>
    <w:rsid w:val="100732BC"/>
    <w:rsid w:val="108F20AC"/>
    <w:rsid w:val="10AC1DFC"/>
    <w:rsid w:val="11691807"/>
    <w:rsid w:val="11957EC6"/>
    <w:rsid w:val="11B960F1"/>
    <w:rsid w:val="122D3AC4"/>
    <w:rsid w:val="128D4839"/>
    <w:rsid w:val="13995D87"/>
    <w:rsid w:val="13A81B33"/>
    <w:rsid w:val="141B27F1"/>
    <w:rsid w:val="146641E8"/>
    <w:rsid w:val="147A532B"/>
    <w:rsid w:val="161C4232"/>
    <w:rsid w:val="164662C8"/>
    <w:rsid w:val="18173C84"/>
    <w:rsid w:val="186B06AC"/>
    <w:rsid w:val="1A0E4CA6"/>
    <w:rsid w:val="1A5D7508"/>
    <w:rsid w:val="1AB01369"/>
    <w:rsid w:val="1D694F1B"/>
    <w:rsid w:val="1D6A1F13"/>
    <w:rsid w:val="1E563025"/>
    <w:rsid w:val="1FFD700C"/>
    <w:rsid w:val="20A807D4"/>
    <w:rsid w:val="24097F7B"/>
    <w:rsid w:val="243C79EA"/>
    <w:rsid w:val="24C7565A"/>
    <w:rsid w:val="25BA1937"/>
    <w:rsid w:val="26663961"/>
    <w:rsid w:val="26E214A3"/>
    <w:rsid w:val="276943B2"/>
    <w:rsid w:val="277315B0"/>
    <w:rsid w:val="28FC2868"/>
    <w:rsid w:val="2A2839CE"/>
    <w:rsid w:val="2B101769"/>
    <w:rsid w:val="2B5A4552"/>
    <w:rsid w:val="2BAB062C"/>
    <w:rsid w:val="2CEE2624"/>
    <w:rsid w:val="2DDA2D1B"/>
    <w:rsid w:val="2ED70D0E"/>
    <w:rsid w:val="2EF53ED2"/>
    <w:rsid w:val="2F136BB1"/>
    <w:rsid w:val="2FFE70AB"/>
    <w:rsid w:val="306D4751"/>
    <w:rsid w:val="308A2EA8"/>
    <w:rsid w:val="30B348C3"/>
    <w:rsid w:val="30BB6ADC"/>
    <w:rsid w:val="31027C02"/>
    <w:rsid w:val="33CA5530"/>
    <w:rsid w:val="347F6565"/>
    <w:rsid w:val="36830867"/>
    <w:rsid w:val="36967D4F"/>
    <w:rsid w:val="37390CEE"/>
    <w:rsid w:val="387B5A3F"/>
    <w:rsid w:val="38A071A7"/>
    <w:rsid w:val="3B723017"/>
    <w:rsid w:val="3BB30E90"/>
    <w:rsid w:val="3C46220A"/>
    <w:rsid w:val="3C937993"/>
    <w:rsid w:val="3D581B9C"/>
    <w:rsid w:val="3D804E02"/>
    <w:rsid w:val="3F9E1D54"/>
    <w:rsid w:val="401F17A1"/>
    <w:rsid w:val="40CB60A0"/>
    <w:rsid w:val="42C7547B"/>
    <w:rsid w:val="43BA09C3"/>
    <w:rsid w:val="44790D1E"/>
    <w:rsid w:val="44C164DB"/>
    <w:rsid w:val="45B8049E"/>
    <w:rsid w:val="45FD1CF9"/>
    <w:rsid w:val="48274C8F"/>
    <w:rsid w:val="4A610B4B"/>
    <w:rsid w:val="4A782462"/>
    <w:rsid w:val="4C0A4C58"/>
    <w:rsid w:val="4C654FF4"/>
    <w:rsid w:val="4CAE696C"/>
    <w:rsid w:val="4D5D39D3"/>
    <w:rsid w:val="4DBC04A6"/>
    <w:rsid w:val="4E392E7F"/>
    <w:rsid w:val="4EAF7C7E"/>
    <w:rsid w:val="4EF8646D"/>
    <w:rsid w:val="4FFC461A"/>
    <w:rsid w:val="500F6E86"/>
    <w:rsid w:val="501B1F93"/>
    <w:rsid w:val="50227C85"/>
    <w:rsid w:val="51A44449"/>
    <w:rsid w:val="54011E59"/>
    <w:rsid w:val="543B794F"/>
    <w:rsid w:val="558A38DC"/>
    <w:rsid w:val="55B75A88"/>
    <w:rsid w:val="56BE6D1E"/>
    <w:rsid w:val="56C81624"/>
    <w:rsid w:val="57EA040F"/>
    <w:rsid w:val="5B4973B1"/>
    <w:rsid w:val="5BFF5F24"/>
    <w:rsid w:val="5C023C3D"/>
    <w:rsid w:val="5D5A1089"/>
    <w:rsid w:val="5E0E7049"/>
    <w:rsid w:val="5E374CA8"/>
    <w:rsid w:val="5E425200"/>
    <w:rsid w:val="5F004CBA"/>
    <w:rsid w:val="5F2C6FD3"/>
    <w:rsid w:val="610647C6"/>
    <w:rsid w:val="627C1233"/>
    <w:rsid w:val="62EB5430"/>
    <w:rsid w:val="6328380F"/>
    <w:rsid w:val="647D4CC7"/>
    <w:rsid w:val="65BF5849"/>
    <w:rsid w:val="660C1CCE"/>
    <w:rsid w:val="662231D4"/>
    <w:rsid w:val="674C1080"/>
    <w:rsid w:val="68BE4527"/>
    <w:rsid w:val="69931944"/>
    <w:rsid w:val="69A235C0"/>
    <w:rsid w:val="6AB26DFA"/>
    <w:rsid w:val="6E553663"/>
    <w:rsid w:val="6E676DE8"/>
    <w:rsid w:val="6F5350B5"/>
    <w:rsid w:val="6FFE038C"/>
    <w:rsid w:val="71947ED4"/>
    <w:rsid w:val="71A5098C"/>
    <w:rsid w:val="722F5C6F"/>
    <w:rsid w:val="72C72385"/>
    <w:rsid w:val="7386251A"/>
    <w:rsid w:val="738B58D2"/>
    <w:rsid w:val="73B378DD"/>
    <w:rsid w:val="74DC1386"/>
    <w:rsid w:val="75236970"/>
    <w:rsid w:val="75D37D5C"/>
    <w:rsid w:val="766F0203"/>
    <w:rsid w:val="76BE496D"/>
    <w:rsid w:val="79FE3DB9"/>
    <w:rsid w:val="7B130AA1"/>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18"/>
    <w:qFormat/>
    <w:uiPriority w:val="0"/>
    <w:pPr>
      <w:widowControl/>
      <w:adjustRightInd w:val="0"/>
      <w:snapToGrid w:val="0"/>
      <w:spacing w:line="360" w:lineRule="auto"/>
      <w:jc w:val="center"/>
      <w:outlineLvl w:val="1"/>
    </w:pPr>
    <w:rPr>
      <w:rFonts w:hAnsi="Arial"/>
      <w:b/>
      <w:kern w:val="0"/>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5">
    <w:name w:val="Plain Text"/>
    <w:basedOn w:val="1"/>
    <w:link w:val="16"/>
    <w:qFormat/>
    <w:uiPriority w:val="0"/>
    <w:rPr>
      <w:rFonts w:ascii="宋体" w:hAnsi="Courier New" w:eastAsiaTheme="minorEastAsia" w:cstheme="minorBidi"/>
      <w:szCs w:val="20"/>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paragraph" w:customStyle="1" w:styleId="13">
    <w:name w:val="表格文字"/>
    <w:basedOn w:val="1"/>
    <w:qFormat/>
    <w:uiPriority w:val="0"/>
    <w:pPr>
      <w:spacing w:before="25" w:after="25" w:line="240" w:lineRule="auto"/>
      <w:ind w:firstLine="0"/>
      <w:jc w:val="left"/>
    </w:pPr>
    <w:rPr>
      <w:bCs/>
      <w:spacing w:val="10"/>
      <w:kern w:val="0"/>
      <w:sz w:val="24"/>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纯文本 Char"/>
    <w:basedOn w:val="11"/>
    <w:link w:val="5"/>
    <w:qFormat/>
    <w:uiPriority w:val="0"/>
    <w:rPr>
      <w:rFonts w:ascii="宋体" w:hAnsi="Courier New"/>
      <w:szCs w:val="20"/>
    </w:rPr>
  </w:style>
  <w:style w:type="paragraph" w:customStyle="1" w:styleId="17">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18">
    <w:name w:val="标题 2 Char"/>
    <w:basedOn w:val="11"/>
    <w:link w:val="4"/>
    <w:qFormat/>
    <w:uiPriority w:val="0"/>
    <w:rPr>
      <w:rFonts w:ascii="Times New Roman" w:hAnsi="Arial" w:eastAsia="宋体" w:cs="Times New Roman"/>
      <w:b/>
      <w:kern w:val="0"/>
      <w:sz w:val="32"/>
      <w:szCs w:val="24"/>
    </w:rPr>
  </w:style>
  <w:style w:type="paragraph" w:styleId="19">
    <w:name w:val="List Paragraph"/>
    <w:basedOn w:val="1"/>
    <w:qFormat/>
    <w:uiPriority w:val="34"/>
    <w:pPr>
      <w:ind w:firstLine="420" w:firstLineChars="200"/>
    </w:pPr>
  </w:style>
  <w:style w:type="paragraph" w:customStyle="1" w:styleId="20">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1">
    <w:name w:val="font11"/>
    <w:basedOn w:val="11"/>
    <w:qFormat/>
    <w:uiPriority w:val="0"/>
    <w:rPr>
      <w:rFonts w:hint="default" w:ascii="Times New Roman" w:hAnsi="Times New Roman" w:cs="Times New Roman"/>
      <w:b/>
      <w:bCs/>
      <w:color w:val="000000"/>
      <w:sz w:val="26"/>
      <w:szCs w:val="26"/>
      <w:u w:val="none"/>
    </w:rPr>
  </w:style>
  <w:style w:type="character" w:customStyle="1" w:styleId="22">
    <w:name w:val="font31"/>
    <w:basedOn w:val="11"/>
    <w:qFormat/>
    <w:uiPriority w:val="0"/>
    <w:rPr>
      <w:rFonts w:hint="eastAsia" w:ascii="宋体" w:hAnsi="宋体" w:eastAsia="宋体" w:cs="宋体"/>
      <w:b/>
      <w:bCs/>
      <w:color w:val="000000"/>
      <w:sz w:val="26"/>
      <w:szCs w:val="26"/>
      <w:u w:val="none"/>
    </w:rPr>
  </w:style>
  <w:style w:type="character" w:customStyle="1" w:styleId="23">
    <w:name w:val="font21"/>
    <w:basedOn w:val="11"/>
    <w:qFormat/>
    <w:uiPriority w:val="0"/>
    <w:rPr>
      <w:rFonts w:hint="default" w:ascii="Times New Roman" w:hAnsi="Times New Roman" w:cs="Times New Roman"/>
      <w:color w:val="000000"/>
      <w:sz w:val="20"/>
      <w:szCs w:val="20"/>
      <w:u w:val="none"/>
    </w:rPr>
  </w:style>
  <w:style w:type="character" w:customStyle="1" w:styleId="24">
    <w:name w:val="font01"/>
    <w:basedOn w:val="11"/>
    <w:qFormat/>
    <w:uiPriority w:val="0"/>
    <w:rPr>
      <w:rFonts w:hint="eastAsia" w:ascii="宋体" w:hAnsi="宋体" w:eastAsia="宋体" w:cs="宋体"/>
      <w:color w:val="FF0000"/>
      <w:sz w:val="20"/>
      <w:szCs w:val="20"/>
      <w:u w:val="none"/>
    </w:rPr>
  </w:style>
  <w:style w:type="character" w:customStyle="1" w:styleId="25">
    <w:name w:val="font51"/>
    <w:basedOn w:val="11"/>
    <w:qFormat/>
    <w:uiPriority w:val="0"/>
    <w:rPr>
      <w:rFonts w:hint="eastAsia" w:ascii="宋体" w:hAnsi="宋体" w:eastAsia="宋体" w:cs="宋体"/>
      <w:color w:val="000000"/>
      <w:sz w:val="20"/>
      <w:szCs w:val="20"/>
      <w:u w:val="none"/>
    </w:rPr>
  </w:style>
  <w:style w:type="character" w:customStyle="1" w:styleId="26">
    <w:name w:val="font61"/>
    <w:basedOn w:val="11"/>
    <w:qFormat/>
    <w:uiPriority w:val="0"/>
    <w:rPr>
      <w:rFonts w:hint="eastAsia" w:ascii="宋体" w:hAnsi="宋体" w:eastAsia="宋体" w:cs="宋体"/>
      <w:b/>
      <w:bCs/>
      <w:color w:val="000000"/>
      <w:sz w:val="22"/>
      <w:szCs w:val="22"/>
      <w:u w:val="none"/>
    </w:rPr>
  </w:style>
  <w:style w:type="character" w:customStyle="1" w:styleId="27">
    <w:name w:val="font81"/>
    <w:basedOn w:val="11"/>
    <w:qFormat/>
    <w:uiPriority w:val="0"/>
    <w:rPr>
      <w:rFonts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18</Pages>
  <Words>1365</Words>
  <Characters>7782</Characters>
  <Lines>64</Lines>
  <Paragraphs>18</Paragraphs>
  <TotalTime>0</TotalTime>
  <ScaleCrop>false</ScaleCrop>
  <LinksUpToDate>false</LinksUpToDate>
  <CharactersWithSpaces>9129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2022-01-20T08:46:55Z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6F7D5F68E8D34154B9B18477FBC96B5B</vt:lpwstr>
  </property>
</Properties>
</file>