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8"/>
        </w:tabs>
        <w:spacing w:before="156" w:beforeLines="50" w:after="156" w:afterLines="50" w:line="560" w:lineRule="exact"/>
        <w:jc w:val="center"/>
        <w:rPr>
          <w:rFonts w:hint="eastAsia" w:ascii="方正小标宋简体" w:hAnsi="方正小标宋简体" w:eastAsia="方正小标宋简体" w:cs="方正小标宋简体"/>
          <w:bCs/>
          <w:color w:val="auto"/>
          <w:sz w:val="44"/>
          <w:szCs w:val="44"/>
        </w:rPr>
      </w:pPr>
    </w:p>
    <w:p>
      <w:pPr>
        <w:tabs>
          <w:tab w:val="left" w:pos="7928"/>
        </w:tabs>
        <w:spacing w:before="156" w:beforeLines="50" w:after="156" w:afterLines="50"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深圳市龙岗区地震应急预案</w:t>
      </w:r>
    </w:p>
    <w:p>
      <w:pPr>
        <w:spacing w:line="360" w:lineRule="auto"/>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（送审稿）</w:t>
      </w:r>
    </w:p>
    <w:p>
      <w:pPr>
        <w:jc w:val="center"/>
        <w:rPr>
          <w:rFonts w:ascii="宋体" w:hAnsi="宋体"/>
          <w:color w:val="auto"/>
          <w:sz w:val="84"/>
          <w:szCs w:val="84"/>
        </w:rPr>
      </w:pPr>
    </w:p>
    <w:p>
      <w:pPr>
        <w:jc w:val="center"/>
        <w:rPr>
          <w:rFonts w:ascii="宋体" w:hAnsi="宋体"/>
          <w:color w:val="auto"/>
          <w:sz w:val="84"/>
          <w:szCs w:val="84"/>
        </w:rPr>
      </w:pPr>
      <w:bookmarkStart w:id="51" w:name="_GoBack"/>
      <w:bookmarkEnd w:id="51"/>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84"/>
          <w:szCs w:val="84"/>
        </w:rPr>
      </w:pPr>
    </w:p>
    <w:p>
      <w:pPr>
        <w:jc w:val="center"/>
        <w:rPr>
          <w:rFonts w:ascii="宋体" w:hAnsi="宋体"/>
          <w:color w:val="auto"/>
          <w:sz w:val="84"/>
          <w:szCs w:val="84"/>
        </w:rPr>
      </w:pPr>
    </w:p>
    <w:p>
      <w:pPr>
        <w:spacing w:line="360" w:lineRule="auto"/>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深圳市龙岗区抗震救灾指挥部</w:t>
      </w:r>
    </w:p>
    <w:p>
      <w:pPr>
        <w:spacing w:line="560" w:lineRule="exact"/>
        <w:ind w:firstLine="3520" w:firstLineChars="1100"/>
        <w:rPr>
          <w:rFonts w:ascii="仿宋_GB2312" w:hAnsi="仿宋_GB2312" w:cs="仿宋_GB2312"/>
          <w:color w:val="auto"/>
          <w:sz w:val="32"/>
          <w:szCs w:val="32"/>
        </w:rPr>
      </w:pPr>
      <w:r>
        <w:rPr>
          <w:rFonts w:hint="eastAsia" w:ascii="仿宋_GB2312" w:hAnsi="仿宋_GB2312" w:cs="仿宋_GB2312"/>
          <w:color w:val="auto"/>
          <w:sz w:val="32"/>
          <w:szCs w:val="32"/>
        </w:rPr>
        <w:t>20</w:t>
      </w:r>
      <w:r>
        <w:rPr>
          <w:rFonts w:hint="eastAsia" w:ascii="仿宋_GB2312" w:hAnsi="仿宋_GB2312" w:cs="仿宋_GB2312"/>
          <w:color w:val="auto"/>
          <w:sz w:val="32"/>
          <w:szCs w:val="32"/>
          <w:lang w:val="en-US" w:eastAsia="zh-CN"/>
        </w:rPr>
        <w:t>20</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4</w:t>
      </w:r>
      <w:r>
        <w:rPr>
          <w:rFonts w:hint="eastAsia" w:ascii="仿宋_GB2312" w:hAnsi="仿宋_GB2312" w:cs="仿宋_GB2312"/>
          <w:color w:val="auto"/>
          <w:sz w:val="32"/>
          <w:szCs w:val="32"/>
        </w:rPr>
        <w:t>月</w:t>
      </w:r>
    </w:p>
    <w:p>
      <w:pPr>
        <w:spacing w:line="560" w:lineRule="exact"/>
        <w:jc w:val="center"/>
        <w:rPr>
          <w:rFonts w:ascii="黑体" w:hAnsi="黑体" w:eastAsia="黑体"/>
          <w:color w:val="auto"/>
          <w:sz w:val="32"/>
          <w:szCs w:val="32"/>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sdt>
      <w:sdtPr>
        <w:rPr>
          <w:rFonts w:asciiTheme="minorHAnsi" w:hAnsiTheme="minorHAnsi" w:eastAsiaTheme="minorEastAsia" w:cstheme="minorBidi"/>
          <w:color w:val="auto"/>
          <w:kern w:val="2"/>
          <w:sz w:val="21"/>
          <w:szCs w:val="22"/>
          <w:lang w:val="zh-CN"/>
        </w:rPr>
        <w:id w:val="1430395037"/>
      </w:sdtPr>
      <w:sdtEndPr>
        <w:rPr>
          <w:rFonts w:asciiTheme="minorHAnsi" w:hAnsiTheme="minorHAnsi" w:eastAsiaTheme="minorEastAsia" w:cstheme="minorBidi"/>
          <w:b/>
          <w:bCs/>
          <w:color w:val="auto"/>
          <w:kern w:val="2"/>
          <w:sz w:val="21"/>
          <w:szCs w:val="22"/>
          <w:lang w:val="zh-CN"/>
        </w:rPr>
      </w:sdtEndPr>
      <w:sdtContent>
        <w:p>
          <w:pPr>
            <w:pStyle w:val="28"/>
            <w:jc w:val="center"/>
            <w:rPr>
              <w:rFonts w:ascii="黑体" w:hAnsi="黑体" w:eastAsia="黑体" w:cstheme="minorBidi"/>
              <w:color w:val="auto"/>
              <w:kern w:val="2"/>
              <w:sz w:val="44"/>
              <w:szCs w:val="44"/>
            </w:rPr>
          </w:pPr>
          <w:r>
            <w:rPr>
              <w:rFonts w:ascii="黑体" w:hAnsi="黑体" w:eastAsia="黑体" w:cstheme="minorBidi"/>
              <w:color w:val="auto"/>
              <w:kern w:val="2"/>
              <w:sz w:val="44"/>
              <w:szCs w:val="44"/>
            </w:rPr>
            <w:t>目</w:t>
          </w:r>
          <w:r>
            <w:rPr>
              <w:rFonts w:hint="eastAsia" w:ascii="黑体" w:hAnsi="黑体" w:eastAsia="黑体" w:cstheme="minorBidi"/>
              <w:color w:val="auto"/>
              <w:kern w:val="2"/>
              <w:sz w:val="44"/>
              <w:szCs w:val="44"/>
            </w:rPr>
            <w:t xml:space="preserve"> </w:t>
          </w:r>
          <w:r>
            <w:rPr>
              <w:rFonts w:ascii="黑体" w:hAnsi="黑体" w:eastAsia="黑体" w:cstheme="minorBidi"/>
              <w:color w:val="auto"/>
              <w:kern w:val="2"/>
              <w:sz w:val="44"/>
              <w:szCs w:val="44"/>
            </w:rPr>
            <w:t>录</w:t>
          </w:r>
        </w:p>
        <w:p>
          <w:pPr>
            <w:pStyle w:val="11"/>
            <w:tabs>
              <w:tab w:val="right" w:leader="dot" w:pos="8306"/>
            </w:tabs>
            <w:rPr>
              <w:color w:val="auto"/>
            </w:rPr>
          </w:pPr>
          <w:r>
            <w:rPr>
              <w:b/>
              <w:bCs/>
              <w:color w:val="auto"/>
              <w:lang w:val="zh-CN"/>
            </w:rPr>
            <w:fldChar w:fldCharType="begin"/>
          </w:r>
          <w:r>
            <w:rPr>
              <w:b/>
              <w:bCs/>
              <w:color w:val="auto"/>
              <w:lang w:val="zh-CN"/>
            </w:rPr>
            <w:instrText xml:space="preserve"> TOC \o "1-3" \h \z \u </w:instrText>
          </w:r>
          <w:r>
            <w:rPr>
              <w:b/>
              <w:bCs/>
              <w:color w:val="auto"/>
              <w:lang w:val="zh-CN"/>
            </w:rPr>
            <w:fldChar w:fldCharType="separate"/>
          </w:r>
          <w:r>
            <w:rPr>
              <w:bCs/>
              <w:color w:val="auto"/>
              <w:lang w:val="zh-CN"/>
            </w:rPr>
            <w:fldChar w:fldCharType="begin"/>
          </w:r>
          <w:r>
            <w:rPr>
              <w:bCs/>
              <w:color w:val="auto"/>
              <w:lang w:val="zh-CN"/>
            </w:rPr>
            <w:instrText xml:space="preserve"> HYPERLINK \l _Toc20042 </w:instrText>
          </w:r>
          <w:r>
            <w:rPr>
              <w:bCs/>
              <w:color w:val="auto"/>
              <w:lang w:val="zh-CN"/>
            </w:rPr>
            <w:fldChar w:fldCharType="separate"/>
          </w:r>
          <w:r>
            <w:rPr>
              <w:rFonts w:hint="eastAsia" w:ascii="黑体" w:hAnsi="黑体" w:eastAsia="黑体"/>
              <w:color w:val="auto"/>
              <w:szCs w:val="32"/>
            </w:rPr>
            <w:t>1 总则</w:t>
          </w:r>
          <w:r>
            <w:rPr>
              <w:color w:val="auto"/>
            </w:rPr>
            <w:tab/>
          </w:r>
          <w:r>
            <w:rPr>
              <w:color w:val="auto"/>
            </w:rPr>
            <w:fldChar w:fldCharType="begin"/>
          </w:r>
          <w:r>
            <w:rPr>
              <w:color w:val="auto"/>
            </w:rPr>
            <w:instrText xml:space="preserve"> PAGEREF _Toc20042 </w:instrText>
          </w:r>
          <w:r>
            <w:rPr>
              <w:color w:val="auto"/>
            </w:rPr>
            <w:fldChar w:fldCharType="separate"/>
          </w:r>
          <w:r>
            <w:rPr>
              <w:color w:val="auto"/>
            </w:rPr>
            <w:t>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_Toc13747 </w:instrText>
          </w:r>
          <w:r>
            <w:rPr>
              <w:bCs/>
              <w:color w:val="auto"/>
              <w:lang w:val="zh-CN"/>
            </w:rPr>
            <w:fldChar w:fldCharType="separate"/>
          </w:r>
          <w:r>
            <w:rPr>
              <w:rFonts w:hint="eastAsia" w:ascii="仿宋_GB2312" w:eastAsia="仿宋_GB2312"/>
              <w:color w:val="auto"/>
              <w:szCs w:val="32"/>
            </w:rPr>
            <w:t>1.1 编制目的</w:t>
          </w:r>
          <w:r>
            <w:rPr>
              <w:color w:val="auto"/>
            </w:rPr>
            <w:tab/>
          </w:r>
          <w:r>
            <w:rPr>
              <w:color w:val="auto"/>
            </w:rPr>
            <w:fldChar w:fldCharType="begin"/>
          </w:r>
          <w:r>
            <w:rPr>
              <w:color w:val="auto"/>
            </w:rPr>
            <w:instrText xml:space="preserve"> PAGEREF _Toc13747 </w:instrText>
          </w:r>
          <w:r>
            <w:rPr>
              <w:color w:val="auto"/>
            </w:rPr>
            <w:fldChar w:fldCharType="separate"/>
          </w:r>
          <w:r>
            <w:rPr>
              <w:color w:val="auto"/>
            </w:rPr>
            <w:t>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_Toc18859 </w:instrText>
          </w:r>
          <w:r>
            <w:rPr>
              <w:bCs/>
              <w:color w:val="auto"/>
              <w:lang w:val="zh-CN"/>
            </w:rPr>
            <w:fldChar w:fldCharType="separate"/>
          </w:r>
          <w:r>
            <w:rPr>
              <w:rFonts w:hint="eastAsia" w:ascii="仿宋_GB2312" w:eastAsia="仿宋_GB2312"/>
              <w:color w:val="auto"/>
              <w:szCs w:val="32"/>
            </w:rPr>
            <w:t>1.2 编制依据</w:t>
          </w:r>
          <w:r>
            <w:rPr>
              <w:color w:val="auto"/>
            </w:rPr>
            <w:tab/>
          </w:r>
          <w:r>
            <w:rPr>
              <w:color w:val="auto"/>
            </w:rPr>
            <w:fldChar w:fldCharType="begin"/>
          </w:r>
          <w:r>
            <w:rPr>
              <w:color w:val="auto"/>
            </w:rPr>
            <w:instrText xml:space="preserve"> PAGEREF _Toc18859 </w:instrText>
          </w:r>
          <w:r>
            <w:rPr>
              <w:color w:val="auto"/>
            </w:rPr>
            <w:fldChar w:fldCharType="separate"/>
          </w:r>
          <w:r>
            <w:rPr>
              <w:color w:val="auto"/>
            </w:rPr>
            <w:t>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_Toc9116 </w:instrText>
          </w:r>
          <w:r>
            <w:rPr>
              <w:bCs/>
              <w:color w:val="auto"/>
              <w:lang w:val="zh-CN"/>
            </w:rPr>
            <w:fldChar w:fldCharType="separate"/>
          </w:r>
          <w:r>
            <w:rPr>
              <w:rFonts w:hint="eastAsia" w:ascii="仿宋_GB2312" w:eastAsia="仿宋_GB2312"/>
              <w:color w:val="auto"/>
              <w:szCs w:val="32"/>
            </w:rPr>
            <w:t>1.3工作原则</w:t>
          </w:r>
          <w:r>
            <w:rPr>
              <w:color w:val="auto"/>
            </w:rPr>
            <w:tab/>
          </w:r>
          <w:r>
            <w:rPr>
              <w:color w:val="auto"/>
            </w:rPr>
            <w:fldChar w:fldCharType="begin"/>
          </w:r>
          <w:r>
            <w:rPr>
              <w:color w:val="auto"/>
            </w:rPr>
            <w:instrText xml:space="preserve"> PAGEREF _Toc9116 </w:instrText>
          </w:r>
          <w:r>
            <w:rPr>
              <w:color w:val="auto"/>
            </w:rPr>
            <w:fldChar w:fldCharType="separate"/>
          </w:r>
          <w:r>
            <w:rPr>
              <w:color w:val="auto"/>
            </w:rPr>
            <w:t>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_Toc14062 </w:instrText>
          </w:r>
          <w:r>
            <w:rPr>
              <w:bCs/>
              <w:color w:val="auto"/>
              <w:lang w:val="zh-CN"/>
            </w:rPr>
            <w:fldChar w:fldCharType="separate"/>
          </w:r>
          <w:r>
            <w:rPr>
              <w:rFonts w:hint="eastAsia" w:ascii="仿宋_GB2312" w:eastAsia="仿宋_GB2312"/>
              <w:color w:val="auto"/>
              <w:szCs w:val="32"/>
            </w:rPr>
            <w:t>1.4 适用范围</w:t>
          </w:r>
          <w:r>
            <w:rPr>
              <w:color w:val="auto"/>
            </w:rPr>
            <w:tab/>
          </w:r>
          <w:r>
            <w:rPr>
              <w:color w:val="auto"/>
            </w:rPr>
            <w:fldChar w:fldCharType="begin"/>
          </w:r>
          <w:r>
            <w:rPr>
              <w:color w:val="auto"/>
            </w:rPr>
            <w:instrText xml:space="preserve"> PAGEREF _Toc14062 </w:instrText>
          </w:r>
          <w:r>
            <w:rPr>
              <w:color w:val="auto"/>
            </w:rPr>
            <w:fldChar w:fldCharType="separate"/>
          </w:r>
          <w:r>
            <w:rPr>
              <w:color w:val="auto"/>
            </w:rPr>
            <w:t>1</w:t>
          </w:r>
          <w:r>
            <w:rPr>
              <w:color w:val="auto"/>
            </w:rPr>
            <w:fldChar w:fldCharType="end"/>
          </w:r>
          <w:r>
            <w:rPr>
              <w:bCs/>
              <w:color w:val="auto"/>
              <w:lang w:val="zh-CN"/>
            </w:rPr>
            <w:fldChar w:fldCharType="end"/>
          </w:r>
        </w:p>
        <w:p>
          <w:pPr>
            <w:pStyle w:val="11"/>
            <w:tabs>
              <w:tab w:val="right" w:leader="dot" w:pos="8306"/>
            </w:tabs>
            <w:rPr>
              <w:color w:val="auto"/>
            </w:rPr>
          </w:pPr>
          <w:r>
            <w:rPr>
              <w:bCs/>
              <w:color w:val="auto"/>
              <w:lang w:val="zh-CN"/>
            </w:rPr>
            <w:fldChar w:fldCharType="begin"/>
          </w:r>
          <w:r>
            <w:rPr>
              <w:bCs/>
              <w:color w:val="auto"/>
              <w:lang w:val="zh-CN"/>
            </w:rPr>
            <w:instrText xml:space="preserve"> HYPERLINK \l _Toc12665 </w:instrText>
          </w:r>
          <w:r>
            <w:rPr>
              <w:bCs/>
              <w:color w:val="auto"/>
              <w:lang w:val="zh-CN"/>
            </w:rPr>
            <w:fldChar w:fldCharType="separate"/>
          </w:r>
          <w:r>
            <w:rPr>
              <w:rFonts w:hint="eastAsia" w:ascii="黑体" w:hAnsi="黑体" w:eastAsia="黑体"/>
              <w:color w:val="auto"/>
              <w:szCs w:val="32"/>
            </w:rPr>
            <w:t>2 组织体系</w:t>
          </w:r>
          <w:r>
            <w:rPr>
              <w:color w:val="auto"/>
            </w:rPr>
            <w:tab/>
          </w:r>
          <w:r>
            <w:rPr>
              <w:color w:val="auto"/>
            </w:rPr>
            <w:fldChar w:fldCharType="begin"/>
          </w:r>
          <w:r>
            <w:rPr>
              <w:color w:val="auto"/>
            </w:rPr>
            <w:instrText xml:space="preserve"> PAGEREF _Toc12665 </w:instrText>
          </w:r>
          <w:r>
            <w:rPr>
              <w:color w:val="auto"/>
            </w:rPr>
            <w:fldChar w:fldCharType="separate"/>
          </w:r>
          <w:r>
            <w:rPr>
              <w:color w:val="auto"/>
            </w:rPr>
            <w:t>2</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_Toc7302 </w:instrText>
          </w:r>
          <w:r>
            <w:rPr>
              <w:bCs/>
              <w:color w:val="auto"/>
              <w:lang w:val="zh-CN"/>
            </w:rPr>
            <w:fldChar w:fldCharType="separate"/>
          </w:r>
          <w:r>
            <w:rPr>
              <w:rFonts w:hint="eastAsia" w:ascii="仿宋_GB2312" w:eastAsia="仿宋_GB2312"/>
              <w:color w:val="auto"/>
              <w:szCs w:val="32"/>
            </w:rPr>
            <w:t>2.1区抗震救灾指挥部</w:t>
          </w:r>
          <w:r>
            <w:rPr>
              <w:color w:val="auto"/>
            </w:rPr>
            <w:tab/>
          </w:r>
          <w:r>
            <w:rPr>
              <w:color w:val="auto"/>
            </w:rPr>
            <w:fldChar w:fldCharType="begin"/>
          </w:r>
          <w:r>
            <w:rPr>
              <w:color w:val="auto"/>
            </w:rPr>
            <w:instrText xml:space="preserve"> PAGEREF _Toc7302 </w:instrText>
          </w:r>
          <w:r>
            <w:rPr>
              <w:color w:val="auto"/>
            </w:rPr>
            <w:fldChar w:fldCharType="separate"/>
          </w:r>
          <w:r>
            <w:rPr>
              <w:color w:val="auto"/>
            </w:rPr>
            <w:t>2</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_Toc8897 </w:instrText>
          </w:r>
          <w:r>
            <w:rPr>
              <w:bCs/>
              <w:color w:val="auto"/>
              <w:lang w:val="zh-CN"/>
            </w:rPr>
            <w:fldChar w:fldCharType="separate"/>
          </w:r>
          <w:r>
            <w:rPr>
              <w:rFonts w:hint="eastAsia" w:ascii="仿宋_GB2312" w:eastAsia="仿宋_GB2312"/>
              <w:color w:val="auto"/>
              <w:szCs w:val="32"/>
            </w:rPr>
            <w:t>2.2 区抗震救灾指挥部办公室</w:t>
          </w:r>
          <w:r>
            <w:rPr>
              <w:color w:val="auto"/>
            </w:rPr>
            <w:tab/>
          </w:r>
          <w:r>
            <w:rPr>
              <w:color w:val="auto"/>
            </w:rPr>
            <w:fldChar w:fldCharType="begin"/>
          </w:r>
          <w:r>
            <w:rPr>
              <w:color w:val="auto"/>
            </w:rPr>
            <w:instrText xml:space="preserve"> PAGEREF _Toc8897 </w:instrText>
          </w:r>
          <w:r>
            <w:rPr>
              <w:color w:val="auto"/>
            </w:rPr>
            <w:fldChar w:fldCharType="separate"/>
          </w:r>
          <w:r>
            <w:rPr>
              <w:color w:val="auto"/>
            </w:rPr>
            <w:t>9</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_Toc29592 </w:instrText>
          </w:r>
          <w:r>
            <w:rPr>
              <w:bCs/>
              <w:color w:val="auto"/>
              <w:lang w:val="zh-CN"/>
            </w:rPr>
            <w:fldChar w:fldCharType="separate"/>
          </w:r>
          <w:r>
            <w:rPr>
              <w:rFonts w:hint="eastAsia" w:ascii="仿宋_GB2312" w:eastAsia="仿宋_GB2312"/>
              <w:color w:val="auto"/>
              <w:szCs w:val="32"/>
            </w:rPr>
            <w:t>2.3 专家组</w:t>
          </w:r>
          <w:r>
            <w:rPr>
              <w:color w:val="auto"/>
            </w:rPr>
            <w:tab/>
          </w:r>
          <w:r>
            <w:rPr>
              <w:color w:val="auto"/>
            </w:rPr>
            <w:fldChar w:fldCharType="begin"/>
          </w:r>
          <w:r>
            <w:rPr>
              <w:color w:val="auto"/>
            </w:rPr>
            <w:instrText xml:space="preserve"> PAGEREF _Toc29592 </w:instrText>
          </w:r>
          <w:r>
            <w:rPr>
              <w:color w:val="auto"/>
            </w:rPr>
            <w:fldChar w:fldCharType="separate"/>
          </w:r>
          <w:r>
            <w:rPr>
              <w:color w:val="auto"/>
            </w:rPr>
            <w:t>10</w:t>
          </w:r>
          <w:r>
            <w:rPr>
              <w:color w:val="auto"/>
            </w:rPr>
            <w:fldChar w:fldCharType="end"/>
          </w:r>
          <w:r>
            <w:rPr>
              <w:bCs/>
              <w:color w:val="auto"/>
              <w:lang w:val="zh-CN"/>
            </w:rPr>
            <w:fldChar w:fldCharType="end"/>
          </w:r>
        </w:p>
        <w:p>
          <w:pPr>
            <w:pStyle w:val="11"/>
            <w:tabs>
              <w:tab w:val="right" w:leader="dot" w:pos="8306"/>
            </w:tabs>
            <w:rPr>
              <w:color w:val="auto"/>
            </w:rPr>
          </w:pPr>
          <w:r>
            <w:rPr>
              <w:bCs/>
              <w:color w:val="auto"/>
              <w:lang w:val="zh-CN"/>
            </w:rPr>
            <w:fldChar w:fldCharType="begin"/>
          </w:r>
          <w:r>
            <w:rPr>
              <w:bCs/>
              <w:color w:val="auto"/>
              <w:lang w:val="zh-CN"/>
            </w:rPr>
            <w:instrText xml:space="preserve"> HYPERLINK \l _Toc26987 </w:instrText>
          </w:r>
          <w:r>
            <w:rPr>
              <w:bCs/>
              <w:color w:val="auto"/>
              <w:lang w:val="zh-CN"/>
            </w:rPr>
            <w:fldChar w:fldCharType="separate"/>
          </w:r>
          <w:r>
            <w:rPr>
              <w:rFonts w:hint="eastAsia" w:ascii="黑体" w:hAnsi="黑体" w:eastAsia="黑体"/>
              <w:color w:val="auto"/>
              <w:szCs w:val="32"/>
            </w:rPr>
            <w:t>3 运行机制</w:t>
          </w:r>
          <w:r>
            <w:rPr>
              <w:color w:val="auto"/>
            </w:rPr>
            <w:tab/>
          </w:r>
          <w:r>
            <w:rPr>
              <w:color w:val="auto"/>
            </w:rPr>
            <w:fldChar w:fldCharType="begin"/>
          </w:r>
          <w:r>
            <w:rPr>
              <w:color w:val="auto"/>
            </w:rPr>
            <w:instrText xml:space="preserve"> PAGEREF _Toc26987 </w:instrText>
          </w:r>
          <w:r>
            <w:rPr>
              <w:color w:val="auto"/>
            </w:rPr>
            <w:fldChar w:fldCharType="separate"/>
          </w:r>
          <w:r>
            <w:rPr>
              <w:color w:val="auto"/>
            </w:rPr>
            <w:t>10</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_Toc22044 </w:instrText>
          </w:r>
          <w:r>
            <w:rPr>
              <w:bCs/>
              <w:color w:val="auto"/>
              <w:lang w:val="zh-CN"/>
            </w:rPr>
            <w:fldChar w:fldCharType="separate"/>
          </w:r>
          <w:r>
            <w:rPr>
              <w:rFonts w:hint="eastAsia" w:ascii="仿宋_GB2312" w:eastAsia="仿宋_GB2312"/>
              <w:color w:val="auto"/>
              <w:szCs w:val="32"/>
            </w:rPr>
            <w:t>3.1监测预报</w:t>
          </w:r>
          <w:r>
            <w:rPr>
              <w:color w:val="auto"/>
            </w:rPr>
            <w:tab/>
          </w:r>
          <w:r>
            <w:rPr>
              <w:color w:val="auto"/>
            </w:rPr>
            <w:fldChar w:fldCharType="begin"/>
          </w:r>
          <w:r>
            <w:rPr>
              <w:color w:val="auto"/>
            </w:rPr>
            <w:instrText xml:space="preserve"> PAGEREF _Toc22044 </w:instrText>
          </w:r>
          <w:r>
            <w:rPr>
              <w:color w:val="auto"/>
            </w:rPr>
            <w:fldChar w:fldCharType="separate"/>
          </w:r>
          <w:r>
            <w:rPr>
              <w:color w:val="auto"/>
            </w:rPr>
            <w:t>10</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_Toc20481 </w:instrText>
          </w:r>
          <w:r>
            <w:rPr>
              <w:bCs/>
              <w:color w:val="auto"/>
              <w:lang w:val="zh-CN"/>
            </w:rPr>
            <w:fldChar w:fldCharType="separate"/>
          </w:r>
          <w:r>
            <w:rPr>
              <w:rFonts w:hint="eastAsia" w:ascii="仿宋_GB2312" w:eastAsia="仿宋_GB2312"/>
              <w:color w:val="auto"/>
              <w:szCs w:val="32"/>
            </w:rPr>
            <w:t>3.2 应急处置</w:t>
          </w:r>
          <w:r>
            <w:rPr>
              <w:color w:val="auto"/>
            </w:rPr>
            <w:tab/>
          </w:r>
          <w:r>
            <w:rPr>
              <w:color w:val="auto"/>
            </w:rPr>
            <w:fldChar w:fldCharType="begin"/>
          </w:r>
          <w:r>
            <w:rPr>
              <w:color w:val="auto"/>
            </w:rPr>
            <w:instrText xml:space="preserve"> PAGEREF _Toc20481 </w:instrText>
          </w:r>
          <w:r>
            <w:rPr>
              <w:color w:val="auto"/>
            </w:rPr>
            <w:fldChar w:fldCharType="separate"/>
          </w:r>
          <w:r>
            <w:rPr>
              <w:color w:val="auto"/>
            </w:rPr>
            <w:t>11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_Toc25367 </w:instrText>
          </w:r>
          <w:r>
            <w:rPr>
              <w:bCs/>
              <w:color w:val="auto"/>
              <w:lang w:val="zh-CN"/>
            </w:rPr>
            <w:fldChar w:fldCharType="separate"/>
          </w:r>
          <w:r>
            <w:rPr>
              <w:rFonts w:hint="eastAsia" w:ascii="仿宋_GB2312" w:eastAsia="仿宋_GB2312"/>
              <w:color w:val="auto"/>
              <w:szCs w:val="32"/>
            </w:rPr>
            <w:t>3.3 恢复重建</w:t>
          </w:r>
          <w:r>
            <w:rPr>
              <w:color w:val="auto"/>
            </w:rPr>
            <w:tab/>
          </w:r>
          <w:r>
            <w:rPr>
              <w:color w:val="auto"/>
            </w:rPr>
            <w:fldChar w:fldCharType="begin"/>
          </w:r>
          <w:r>
            <w:rPr>
              <w:color w:val="auto"/>
            </w:rPr>
            <w:instrText xml:space="preserve"> PAGEREF _Toc25367 </w:instrText>
          </w:r>
          <w:r>
            <w:rPr>
              <w:color w:val="auto"/>
            </w:rPr>
            <w:fldChar w:fldCharType="separate"/>
          </w:r>
          <w:r>
            <w:rPr>
              <w:color w:val="auto"/>
            </w:rPr>
            <w:t>15</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_Toc9586 </w:instrText>
          </w:r>
          <w:r>
            <w:rPr>
              <w:bCs/>
              <w:color w:val="auto"/>
              <w:lang w:val="zh-CN"/>
            </w:rPr>
            <w:fldChar w:fldCharType="separate"/>
          </w:r>
          <w:r>
            <w:rPr>
              <w:rFonts w:hint="eastAsia" w:ascii="仿宋_GB2312" w:eastAsia="仿宋_GB2312"/>
              <w:color w:val="auto"/>
              <w:szCs w:val="32"/>
            </w:rPr>
            <w:t>3.4信息发布</w:t>
          </w:r>
          <w:r>
            <w:rPr>
              <w:color w:val="auto"/>
            </w:rPr>
            <w:tab/>
          </w:r>
          <w:r>
            <w:rPr>
              <w:color w:val="auto"/>
            </w:rPr>
            <w:fldChar w:fldCharType="begin"/>
          </w:r>
          <w:r>
            <w:rPr>
              <w:color w:val="auto"/>
            </w:rPr>
            <w:instrText xml:space="preserve"> PAGEREF _Toc9586 </w:instrText>
          </w:r>
          <w:r>
            <w:rPr>
              <w:color w:val="auto"/>
            </w:rPr>
            <w:fldChar w:fldCharType="separate"/>
          </w:r>
          <w:r>
            <w:rPr>
              <w:color w:val="auto"/>
            </w:rPr>
            <w:t>16</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_Toc12734 </w:instrText>
          </w:r>
          <w:r>
            <w:rPr>
              <w:bCs/>
              <w:color w:val="auto"/>
              <w:lang w:val="zh-CN"/>
            </w:rPr>
            <w:fldChar w:fldCharType="separate"/>
          </w:r>
          <w:r>
            <w:rPr>
              <w:rFonts w:ascii="仿宋_GB2312" w:eastAsia="仿宋_GB2312"/>
              <w:color w:val="auto"/>
              <w:szCs w:val="32"/>
            </w:rPr>
            <w:t>3</w:t>
          </w:r>
          <w:r>
            <w:rPr>
              <w:rFonts w:hint="eastAsia" w:ascii="仿宋_GB2312" w:eastAsia="仿宋_GB2312"/>
              <w:color w:val="auto"/>
              <w:szCs w:val="32"/>
            </w:rPr>
            <w:t>.</w:t>
          </w:r>
          <w:r>
            <w:rPr>
              <w:rFonts w:ascii="仿宋_GB2312" w:eastAsia="仿宋_GB2312"/>
              <w:color w:val="auto"/>
              <w:szCs w:val="32"/>
            </w:rPr>
            <w:t>5</w:t>
          </w:r>
          <w:r>
            <w:rPr>
              <w:rFonts w:hint="eastAsia" w:ascii="仿宋_GB2312" w:eastAsia="仿宋_GB2312"/>
              <w:color w:val="auto"/>
              <w:szCs w:val="32"/>
            </w:rPr>
            <w:t xml:space="preserve"> 应急保障</w:t>
          </w:r>
          <w:r>
            <w:rPr>
              <w:color w:val="auto"/>
            </w:rPr>
            <w:tab/>
          </w:r>
          <w:r>
            <w:rPr>
              <w:color w:val="auto"/>
            </w:rPr>
            <w:fldChar w:fldCharType="begin"/>
          </w:r>
          <w:r>
            <w:rPr>
              <w:color w:val="auto"/>
            </w:rPr>
            <w:instrText xml:space="preserve"> PAGEREF _Toc12734 </w:instrText>
          </w:r>
          <w:r>
            <w:rPr>
              <w:color w:val="auto"/>
            </w:rPr>
            <w:fldChar w:fldCharType="separate"/>
          </w:r>
          <w:r>
            <w:rPr>
              <w:color w:val="auto"/>
            </w:rPr>
            <w:t>17</w:t>
          </w:r>
          <w:r>
            <w:rPr>
              <w:color w:val="auto"/>
            </w:rPr>
            <w:fldChar w:fldCharType="end"/>
          </w:r>
          <w:r>
            <w:rPr>
              <w:bCs/>
              <w:color w:val="auto"/>
              <w:lang w:val="zh-CN"/>
            </w:rPr>
            <w:fldChar w:fldCharType="end"/>
          </w:r>
        </w:p>
        <w:p>
          <w:pPr>
            <w:pStyle w:val="11"/>
            <w:tabs>
              <w:tab w:val="right" w:leader="dot" w:pos="8306"/>
            </w:tabs>
            <w:rPr>
              <w:color w:val="auto"/>
            </w:rPr>
          </w:pPr>
          <w:r>
            <w:rPr>
              <w:bCs/>
              <w:color w:val="auto"/>
              <w:lang w:val="zh-CN"/>
            </w:rPr>
            <w:fldChar w:fldCharType="begin"/>
          </w:r>
          <w:r>
            <w:rPr>
              <w:bCs/>
              <w:color w:val="auto"/>
              <w:lang w:val="zh-CN"/>
            </w:rPr>
            <w:instrText xml:space="preserve"> HYPERLINK \l _Toc50 </w:instrText>
          </w:r>
          <w:r>
            <w:rPr>
              <w:bCs/>
              <w:color w:val="auto"/>
              <w:lang w:val="zh-CN"/>
            </w:rPr>
            <w:fldChar w:fldCharType="separate"/>
          </w:r>
          <w:r>
            <w:rPr>
              <w:rFonts w:ascii="黑体" w:hAnsi="黑体" w:eastAsia="黑体"/>
              <w:color w:val="auto"/>
              <w:szCs w:val="32"/>
            </w:rPr>
            <w:t>4</w:t>
          </w:r>
          <w:r>
            <w:rPr>
              <w:rFonts w:hint="eastAsia" w:ascii="黑体" w:hAnsi="黑体" w:eastAsia="黑体"/>
              <w:color w:val="auto"/>
              <w:szCs w:val="32"/>
            </w:rPr>
            <w:t xml:space="preserve"> 监督管理</w:t>
          </w:r>
          <w:r>
            <w:rPr>
              <w:color w:val="auto"/>
            </w:rPr>
            <w:tab/>
          </w:r>
          <w:r>
            <w:rPr>
              <w:color w:val="auto"/>
            </w:rPr>
            <w:fldChar w:fldCharType="begin"/>
          </w:r>
          <w:r>
            <w:rPr>
              <w:color w:val="auto"/>
            </w:rPr>
            <w:instrText xml:space="preserve"> PAGEREF _Toc50 </w:instrText>
          </w:r>
          <w:r>
            <w:rPr>
              <w:color w:val="auto"/>
            </w:rPr>
            <w:fldChar w:fldCharType="separate"/>
          </w:r>
          <w:r>
            <w:rPr>
              <w:color w:val="auto"/>
            </w:rPr>
            <w:t>20</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_Toc12921 </w:instrText>
          </w:r>
          <w:r>
            <w:rPr>
              <w:bCs/>
              <w:color w:val="auto"/>
              <w:lang w:val="zh-CN"/>
            </w:rPr>
            <w:fldChar w:fldCharType="separate"/>
          </w:r>
          <w:r>
            <w:rPr>
              <w:rFonts w:ascii="仿宋_GB2312" w:eastAsia="仿宋_GB2312"/>
              <w:color w:val="auto"/>
              <w:szCs w:val="32"/>
            </w:rPr>
            <w:t>4</w:t>
          </w:r>
          <w:r>
            <w:rPr>
              <w:rFonts w:hint="eastAsia" w:ascii="仿宋_GB2312" w:eastAsia="仿宋_GB2312"/>
              <w:color w:val="auto"/>
              <w:szCs w:val="32"/>
            </w:rPr>
            <w:t>.1预案管理</w:t>
          </w:r>
          <w:r>
            <w:rPr>
              <w:color w:val="auto"/>
            </w:rPr>
            <w:tab/>
          </w:r>
          <w:r>
            <w:rPr>
              <w:color w:val="auto"/>
            </w:rPr>
            <w:fldChar w:fldCharType="begin"/>
          </w:r>
          <w:r>
            <w:rPr>
              <w:color w:val="auto"/>
            </w:rPr>
            <w:instrText xml:space="preserve"> PAGEREF _Toc12921 </w:instrText>
          </w:r>
          <w:r>
            <w:rPr>
              <w:color w:val="auto"/>
            </w:rPr>
            <w:fldChar w:fldCharType="separate"/>
          </w:r>
          <w:r>
            <w:rPr>
              <w:color w:val="auto"/>
            </w:rPr>
            <w:t>20</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_Toc7088 </w:instrText>
          </w:r>
          <w:r>
            <w:rPr>
              <w:bCs/>
              <w:color w:val="auto"/>
              <w:lang w:val="zh-CN"/>
            </w:rPr>
            <w:fldChar w:fldCharType="separate"/>
          </w:r>
          <w:r>
            <w:rPr>
              <w:rFonts w:hint="eastAsia" w:ascii="仿宋_GB2312" w:eastAsia="仿宋_GB2312"/>
              <w:color w:val="auto"/>
              <w:szCs w:val="32"/>
            </w:rPr>
            <w:t>4.2预案演练</w:t>
          </w:r>
          <w:r>
            <w:rPr>
              <w:color w:val="auto"/>
            </w:rPr>
            <w:tab/>
          </w:r>
          <w:r>
            <w:rPr>
              <w:color w:val="auto"/>
            </w:rPr>
            <w:fldChar w:fldCharType="begin"/>
          </w:r>
          <w:r>
            <w:rPr>
              <w:color w:val="auto"/>
            </w:rPr>
            <w:instrText xml:space="preserve"> PAGEREF _Toc7088 </w:instrText>
          </w:r>
          <w:r>
            <w:rPr>
              <w:color w:val="auto"/>
            </w:rPr>
            <w:fldChar w:fldCharType="separate"/>
          </w:r>
          <w:r>
            <w:rPr>
              <w:color w:val="auto"/>
            </w:rPr>
            <w:t>20</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_Toc5398 </w:instrText>
          </w:r>
          <w:r>
            <w:rPr>
              <w:bCs/>
              <w:color w:val="auto"/>
              <w:lang w:val="zh-CN"/>
            </w:rPr>
            <w:fldChar w:fldCharType="separate"/>
          </w:r>
          <w:r>
            <w:rPr>
              <w:rFonts w:ascii="仿宋_GB2312" w:eastAsia="仿宋_GB2312"/>
              <w:color w:val="auto"/>
              <w:szCs w:val="32"/>
            </w:rPr>
            <w:t>4</w:t>
          </w:r>
          <w:r>
            <w:rPr>
              <w:rFonts w:hint="eastAsia" w:ascii="仿宋_GB2312" w:eastAsia="仿宋_GB2312"/>
              <w:color w:val="auto"/>
              <w:szCs w:val="32"/>
            </w:rPr>
            <w:t>.3 宣教培训</w:t>
          </w:r>
          <w:r>
            <w:rPr>
              <w:color w:val="auto"/>
            </w:rPr>
            <w:tab/>
          </w:r>
          <w:r>
            <w:rPr>
              <w:color w:val="auto"/>
            </w:rPr>
            <w:fldChar w:fldCharType="begin"/>
          </w:r>
          <w:r>
            <w:rPr>
              <w:color w:val="auto"/>
            </w:rPr>
            <w:instrText xml:space="preserve"> PAGEREF _Toc5398 </w:instrText>
          </w:r>
          <w:r>
            <w:rPr>
              <w:color w:val="auto"/>
            </w:rPr>
            <w:fldChar w:fldCharType="separate"/>
          </w:r>
          <w:r>
            <w:rPr>
              <w:color w:val="auto"/>
            </w:rPr>
            <w:t>21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_Toc10796 </w:instrText>
          </w:r>
          <w:r>
            <w:rPr>
              <w:bCs/>
              <w:color w:val="auto"/>
              <w:lang w:val="zh-CN"/>
            </w:rPr>
            <w:fldChar w:fldCharType="separate"/>
          </w:r>
          <w:r>
            <w:rPr>
              <w:rFonts w:ascii="仿宋_GB2312" w:eastAsia="仿宋_GB2312"/>
              <w:color w:val="auto"/>
              <w:szCs w:val="32"/>
            </w:rPr>
            <w:t>4</w:t>
          </w:r>
          <w:r>
            <w:rPr>
              <w:rFonts w:hint="eastAsia" w:ascii="仿宋_GB2312" w:eastAsia="仿宋_GB2312"/>
              <w:color w:val="auto"/>
              <w:szCs w:val="32"/>
            </w:rPr>
            <w:t>.4责任与奖惩</w:t>
          </w:r>
          <w:r>
            <w:rPr>
              <w:color w:val="auto"/>
            </w:rPr>
            <w:tab/>
          </w:r>
          <w:r>
            <w:rPr>
              <w:color w:val="auto"/>
            </w:rPr>
            <w:fldChar w:fldCharType="begin"/>
          </w:r>
          <w:r>
            <w:rPr>
              <w:color w:val="auto"/>
            </w:rPr>
            <w:instrText xml:space="preserve"> PAGEREF _Toc10796 </w:instrText>
          </w:r>
          <w:r>
            <w:rPr>
              <w:color w:val="auto"/>
            </w:rPr>
            <w:fldChar w:fldCharType="separate"/>
          </w:r>
          <w:r>
            <w:rPr>
              <w:color w:val="auto"/>
            </w:rPr>
            <w:t>21</w:t>
          </w:r>
          <w:r>
            <w:rPr>
              <w:color w:val="auto"/>
            </w:rPr>
            <w:fldChar w:fldCharType="end"/>
          </w:r>
          <w:r>
            <w:rPr>
              <w:bCs/>
              <w:color w:val="auto"/>
              <w:lang w:val="zh-CN"/>
            </w:rPr>
            <w:fldChar w:fldCharType="end"/>
          </w:r>
        </w:p>
        <w:p>
          <w:pPr>
            <w:pStyle w:val="11"/>
            <w:tabs>
              <w:tab w:val="right" w:leader="dot" w:pos="8306"/>
            </w:tabs>
            <w:rPr>
              <w:color w:val="auto"/>
            </w:rPr>
          </w:pPr>
          <w:r>
            <w:rPr>
              <w:bCs/>
              <w:color w:val="auto"/>
              <w:lang w:val="zh-CN"/>
            </w:rPr>
            <w:fldChar w:fldCharType="begin"/>
          </w:r>
          <w:r>
            <w:rPr>
              <w:bCs/>
              <w:color w:val="auto"/>
              <w:lang w:val="zh-CN"/>
            </w:rPr>
            <w:instrText xml:space="preserve"> HYPERLINK \l _Toc17859 </w:instrText>
          </w:r>
          <w:r>
            <w:rPr>
              <w:bCs/>
              <w:color w:val="auto"/>
              <w:lang w:val="zh-CN"/>
            </w:rPr>
            <w:fldChar w:fldCharType="separate"/>
          </w:r>
          <w:r>
            <w:rPr>
              <w:rFonts w:ascii="黑体" w:hAnsi="黑体" w:eastAsia="黑体"/>
              <w:color w:val="auto"/>
              <w:szCs w:val="32"/>
            </w:rPr>
            <w:t>5</w:t>
          </w:r>
          <w:r>
            <w:rPr>
              <w:rFonts w:hint="eastAsia" w:ascii="黑体" w:hAnsi="黑体" w:eastAsia="黑体"/>
              <w:color w:val="auto"/>
              <w:szCs w:val="32"/>
            </w:rPr>
            <w:t xml:space="preserve"> 附则</w:t>
          </w:r>
          <w:r>
            <w:rPr>
              <w:color w:val="auto"/>
            </w:rPr>
            <w:tab/>
          </w:r>
          <w:r>
            <w:rPr>
              <w:color w:val="auto"/>
            </w:rPr>
            <w:fldChar w:fldCharType="begin"/>
          </w:r>
          <w:r>
            <w:rPr>
              <w:color w:val="auto"/>
            </w:rPr>
            <w:instrText xml:space="preserve"> PAGEREF _Toc17859 </w:instrText>
          </w:r>
          <w:r>
            <w:rPr>
              <w:color w:val="auto"/>
            </w:rPr>
            <w:fldChar w:fldCharType="separate"/>
          </w:r>
          <w:r>
            <w:rPr>
              <w:color w:val="auto"/>
            </w:rPr>
            <w:t>21</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_Toc1639 </w:instrText>
          </w:r>
          <w:r>
            <w:rPr>
              <w:bCs/>
              <w:color w:val="auto"/>
              <w:lang w:val="zh-CN"/>
            </w:rPr>
            <w:fldChar w:fldCharType="separate"/>
          </w:r>
          <w:r>
            <w:rPr>
              <w:rFonts w:ascii="仿宋_GB2312" w:eastAsia="仿宋_GB2312"/>
              <w:color w:val="auto"/>
              <w:szCs w:val="32"/>
            </w:rPr>
            <w:t>5</w:t>
          </w:r>
          <w:r>
            <w:rPr>
              <w:rFonts w:hint="eastAsia" w:ascii="仿宋_GB2312" w:eastAsia="仿宋_GB2312"/>
              <w:color w:val="auto"/>
              <w:szCs w:val="32"/>
            </w:rPr>
            <w:t>.1 名词术语</w:t>
          </w:r>
          <w:r>
            <w:rPr>
              <w:color w:val="auto"/>
            </w:rPr>
            <w:tab/>
          </w:r>
          <w:r>
            <w:rPr>
              <w:color w:val="auto"/>
            </w:rPr>
            <w:fldChar w:fldCharType="begin"/>
          </w:r>
          <w:r>
            <w:rPr>
              <w:color w:val="auto"/>
            </w:rPr>
            <w:instrText xml:space="preserve"> PAGEREF _Toc1639 </w:instrText>
          </w:r>
          <w:r>
            <w:rPr>
              <w:color w:val="auto"/>
            </w:rPr>
            <w:fldChar w:fldCharType="separate"/>
          </w:r>
          <w:r>
            <w:rPr>
              <w:color w:val="auto"/>
            </w:rPr>
            <w:t>21</w:t>
          </w:r>
          <w:r>
            <w:rPr>
              <w:color w:val="auto"/>
            </w:rPr>
            <w:fldChar w:fldCharType="end"/>
          </w:r>
          <w:r>
            <w:rPr>
              <w:bCs/>
              <w:color w:val="auto"/>
              <w:lang w:val="zh-CN"/>
            </w:rPr>
            <w:fldChar w:fldCharType="end"/>
          </w:r>
        </w:p>
        <w:p>
          <w:pPr>
            <w:pStyle w:val="11"/>
            <w:tabs>
              <w:tab w:val="right" w:leader="dot" w:pos="8306"/>
            </w:tabs>
            <w:rPr>
              <w:color w:val="auto"/>
            </w:rPr>
          </w:pPr>
          <w:r>
            <w:rPr>
              <w:bCs/>
              <w:color w:val="auto"/>
              <w:lang w:val="zh-CN"/>
            </w:rPr>
            <w:fldChar w:fldCharType="begin"/>
          </w:r>
          <w:r>
            <w:rPr>
              <w:bCs/>
              <w:color w:val="auto"/>
              <w:lang w:val="zh-CN"/>
            </w:rPr>
            <w:instrText xml:space="preserve"> HYPERLINK \l _Toc24180 </w:instrText>
          </w:r>
          <w:r>
            <w:rPr>
              <w:bCs/>
              <w:color w:val="auto"/>
              <w:lang w:val="zh-CN"/>
            </w:rPr>
            <w:fldChar w:fldCharType="separate"/>
          </w:r>
          <w:r>
            <w:rPr>
              <w:rFonts w:ascii="黑体" w:hAnsi="黑体" w:eastAsia="黑体"/>
              <w:color w:val="auto"/>
              <w:szCs w:val="32"/>
            </w:rPr>
            <w:t>6</w:t>
          </w:r>
          <w:r>
            <w:rPr>
              <w:rFonts w:hint="eastAsia" w:ascii="黑体" w:hAnsi="黑体" w:eastAsia="黑体"/>
              <w:color w:val="auto"/>
              <w:szCs w:val="32"/>
            </w:rPr>
            <w:t xml:space="preserve"> 附件</w:t>
          </w:r>
          <w:r>
            <w:rPr>
              <w:color w:val="auto"/>
            </w:rPr>
            <w:tab/>
          </w:r>
          <w:r>
            <w:rPr>
              <w:color w:val="auto"/>
            </w:rPr>
            <w:fldChar w:fldCharType="begin"/>
          </w:r>
          <w:r>
            <w:rPr>
              <w:color w:val="auto"/>
            </w:rPr>
            <w:instrText xml:space="preserve"> PAGEREF _Toc24180 </w:instrText>
          </w:r>
          <w:r>
            <w:rPr>
              <w:color w:val="auto"/>
            </w:rPr>
            <w:fldChar w:fldCharType="separate"/>
          </w:r>
          <w:r>
            <w:rPr>
              <w:color w:val="auto"/>
            </w:rPr>
            <w:t>22</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_Toc19408 </w:instrText>
          </w:r>
          <w:r>
            <w:rPr>
              <w:bCs/>
              <w:color w:val="auto"/>
              <w:lang w:val="zh-CN"/>
            </w:rPr>
            <w:fldChar w:fldCharType="separate"/>
          </w:r>
          <w:r>
            <w:rPr>
              <w:rFonts w:hint="eastAsia" w:ascii="仿宋_GB2312" w:hAnsi="宋体" w:eastAsia="仿宋_GB2312" w:cs="宋体"/>
              <w:bCs/>
              <w:color w:val="auto"/>
              <w:szCs w:val="32"/>
            </w:rPr>
            <w:t>附件1：地震灾害分级标准</w:t>
          </w:r>
          <w:r>
            <w:rPr>
              <w:color w:val="auto"/>
            </w:rPr>
            <w:tab/>
          </w:r>
          <w:r>
            <w:rPr>
              <w:color w:val="auto"/>
            </w:rPr>
            <w:fldChar w:fldCharType="begin"/>
          </w:r>
          <w:r>
            <w:rPr>
              <w:color w:val="auto"/>
            </w:rPr>
            <w:instrText xml:space="preserve"> PAGEREF _Toc19408 </w:instrText>
          </w:r>
          <w:r>
            <w:rPr>
              <w:color w:val="auto"/>
            </w:rPr>
            <w:fldChar w:fldCharType="separate"/>
          </w:r>
          <w:r>
            <w:rPr>
              <w:color w:val="auto"/>
            </w:rPr>
            <w:t>23</w:t>
          </w:r>
          <w:r>
            <w:rPr>
              <w:color w:val="auto"/>
            </w:rPr>
            <w:fldChar w:fldCharType="end"/>
          </w:r>
          <w:r>
            <w:rPr>
              <w:bCs/>
              <w:color w:val="auto"/>
              <w:lang w:val="zh-CN"/>
            </w:rPr>
            <w:fldChar w:fldCharType="end"/>
          </w:r>
        </w:p>
        <w:p>
          <w:pPr>
            <w:pStyle w:val="12"/>
            <w:tabs>
              <w:tab w:val="right" w:leader="dot" w:pos="8306"/>
            </w:tabs>
            <w:rPr>
              <w:color w:val="auto"/>
            </w:rPr>
          </w:pPr>
          <w:r>
            <w:rPr>
              <w:bCs/>
              <w:color w:val="auto"/>
              <w:lang w:val="zh-CN"/>
            </w:rPr>
            <w:fldChar w:fldCharType="begin"/>
          </w:r>
          <w:r>
            <w:rPr>
              <w:bCs/>
              <w:color w:val="auto"/>
              <w:lang w:val="zh-CN"/>
            </w:rPr>
            <w:instrText xml:space="preserve"> HYPERLINK \l _Toc6373 </w:instrText>
          </w:r>
          <w:r>
            <w:rPr>
              <w:bCs/>
              <w:color w:val="auto"/>
              <w:lang w:val="zh-CN"/>
            </w:rPr>
            <w:fldChar w:fldCharType="separate"/>
          </w:r>
          <w:r>
            <w:rPr>
              <w:rFonts w:hint="eastAsia" w:ascii="仿宋_GB2312" w:hAnsi="宋体" w:eastAsia="仿宋_GB2312" w:cs="宋体"/>
              <w:bCs/>
              <w:color w:val="auto"/>
              <w:szCs w:val="32"/>
            </w:rPr>
            <w:t>附件</w:t>
          </w:r>
          <w:r>
            <w:rPr>
              <w:rFonts w:ascii="仿宋_GB2312" w:hAnsi="宋体" w:eastAsia="仿宋_GB2312" w:cs="宋体"/>
              <w:bCs/>
              <w:color w:val="auto"/>
              <w:szCs w:val="32"/>
            </w:rPr>
            <w:t>2</w:t>
          </w:r>
          <w:r>
            <w:rPr>
              <w:rFonts w:hint="eastAsia" w:ascii="仿宋_GB2312" w:hAnsi="宋体" w:eastAsia="仿宋_GB2312" w:cs="宋体"/>
              <w:bCs/>
              <w:color w:val="auto"/>
              <w:szCs w:val="32"/>
            </w:rPr>
            <w:t>：现场指挥部各工作组职责分工一览表</w:t>
          </w:r>
          <w:r>
            <w:rPr>
              <w:color w:val="auto"/>
            </w:rPr>
            <w:tab/>
          </w:r>
          <w:r>
            <w:rPr>
              <w:color w:val="auto"/>
            </w:rPr>
            <w:fldChar w:fldCharType="begin"/>
          </w:r>
          <w:r>
            <w:rPr>
              <w:color w:val="auto"/>
            </w:rPr>
            <w:instrText xml:space="preserve"> PAGEREF _Toc6373 </w:instrText>
          </w:r>
          <w:r>
            <w:rPr>
              <w:color w:val="auto"/>
            </w:rPr>
            <w:fldChar w:fldCharType="separate"/>
          </w:r>
          <w:r>
            <w:rPr>
              <w:color w:val="auto"/>
            </w:rPr>
            <w:t>24</w:t>
          </w:r>
          <w:r>
            <w:rPr>
              <w:color w:val="auto"/>
            </w:rPr>
            <w:fldChar w:fldCharType="end"/>
          </w:r>
          <w:r>
            <w:rPr>
              <w:bCs/>
              <w:color w:val="auto"/>
              <w:lang w:val="zh-CN"/>
            </w:rPr>
            <w:fldChar w:fldCharType="end"/>
          </w:r>
        </w:p>
        <w:p>
          <w:pPr>
            <w:rPr>
              <w:color w:val="auto"/>
            </w:rPr>
          </w:pPr>
          <w:r>
            <w:rPr>
              <w:bCs/>
              <w:color w:val="auto"/>
              <w:lang w:val="zh-CN"/>
            </w:rPr>
            <w:fldChar w:fldCharType="end"/>
          </w:r>
        </w:p>
      </w:sdtContent>
    </w:sdt>
    <w:p>
      <w:pPr>
        <w:pStyle w:val="3"/>
        <w:spacing w:before="0" w:beforeAutospacing="0" w:after="0" w:afterAutospacing="0"/>
        <w:jc w:val="center"/>
        <w:rPr>
          <w:rFonts w:ascii="方正小标宋简体" w:hAnsi="微软雅黑" w:eastAsia="方正小标宋简体"/>
          <w:b w:val="0"/>
          <w:bCs w:val="0"/>
          <w:color w:val="auto"/>
        </w:rPr>
      </w:pPr>
    </w:p>
    <w:p>
      <w:pPr>
        <w:rPr>
          <w:color w:val="auto"/>
        </w:rPr>
      </w:pPr>
    </w:p>
    <w:p>
      <w:pPr>
        <w:rPr>
          <w:color w:val="auto"/>
        </w:rPr>
      </w:pPr>
    </w:p>
    <w:p>
      <w:pPr>
        <w:pStyle w:val="3"/>
        <w:spacing w:before="0" w:beforeAutospacing="0" w:after="0" w:afterAutospacing="0"/>
        <w:jc w:val="center"/>
        <w:rPr>
          <w:rFonts w:ascii="方正小标宋简体" w:hAnsi="微软雅黑" w:eastAsia="方正小标宋简体"/>
          <w:b w:val="0"/>
          <w:bCs w:val="0"/>
          <w:color w:val="auto"/>
        </w:rPr>
        <w:sectPr>
          <w:footerReference r:id="rId5" w:type="default"/>
          <w:pgSz w:w="11906" w:h="16838"/>
          <w:pgMar w:top="1440" w:right="1800" w:bottom="1440" w:left="1800" w:header="851" w:footer="992" w:gutter="0"/>
          <w:pgNumType w:start="1"/>
          <w:cols w:space="425" w:num="1"/>
          <w:docGrid w:type="lines" w:linePitch="312" w:charSpace="0"/>
        </w:sectPr>
      </w:pPr>
    </w:p>
    <w:p>
      <w:pPr>
        <w:rPr>
          <w:color w:val="auto"/>
        </w:rPr>
      </w:pPr>
    </w:p>
    <w:p>
      <w:pPr>
        <w:spacing w:line="560" w:lineRule="exact"/>
        <w:jc w:val="center"/>
        <w:rPr>
          <w:rFonts w:ascii="方正小标宋简体" w:eastAsia="方正小标宋简体"/>
          <w:color w:val="auto"/>
          <w:sz w:val="36"/>
          <w:szCs w:val="36"/>
        </w:rPr>
      </w:pPr>
      <w:bookmarkStart w:id="0" w:name="_Toc19548292"/>
      <w:r>
        <w:rPr>
          <w:rFonts w:hint="eastAsia" w:ascii="方正小标宋简体" w:eastAsia="方正小标宋简体"/>
          <w:color w:val="auto"/>
          <w:sz w:val="36"/>
          <w:szCs w:val="36"/>
        </w:rPr>
        <w:t>深圳市龙岗区地震应急预案</w:t>
      </w:r>
      <w:bookmarkEnd w:id="0"/>
    </w:p>
    <w:p>
      <w:pPr>
        <w:pStyle w:val="2"/>
        <w:spacing w:before="0" w:after="0" w:line="560" w:lineRule="exact"/>
        <w:ind w:firstLine="643" w:firstLineChars="200"/>
        <w:rPr>
          <w:rFonts w:ascii="黑体" w:hAnsi="黑体" w:eastAsia="黑体"/>
          <w:color w:val="auto"/>
          <w:sz w:val="32"/>
          <w:szCs w:val="32"/>
        </w:rPr>
      </w:pPr>
      <w:bookmarkStart w:id="1" w:name="_Toc20042"/>
      <w:r>
        <w:rPr>
          <w:rFonts w:hint="eastAsia" w:ascii="黑体" w:hAnsi="黑体" w:eastAsia="黑体"/>
          <w:color w:val="auto"/>
          <w:sz w:val="32"/>
          <w:szCs w:val="32"/>
        </w:rPr>
        <w:t>1 总则</w:t>
      </w:r>
      <w:bookmarkEnd w:id="1"/>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2" w:name="_Toc13747"/>
      <w:r>
        <w:rPr>
          <w:rFonts w:hint="eastAsia" w:ascii="仿宋_GB2312" w:eastAsia="仿宋_GB2312"/>
          <w:b w:val="0"/>
          <w:color w:val="auto"/>
          <w:sz w:val="32"/>
          <w:szCs w:val="32"/>
        </w:rPr>
        <w:t>1.1 编制目的</w:t>
      </w:r>
      <w:bookmarkEnd w:id="2"/>
    </w:p>
    <w:p>
      <w:pPr>
        <w:spacing w:line="560" w:lineRule="exact"/>
        <w:rPr>
          <w:rFonts w:ascii="仿宋_GB2312" w:eastAsia="仿宋_GB2312"/>
          <w:color w:val="auto"/>
          <w:sz w:val="32"/>
          <w:szCs w:val="32"/>
        </w:rPr>
      </w:pPr>
      <w:r>
        <w:rPr>
          <w:rFonts w:hint="eastAsia" w:ascii="仿宋_GB2312" w:eastAsia="仿宋_GB2312"/>
          <w:color w:val="auto"/>
          <w:sz w:val="32"/>
          <w:szCs w:val="32"/>
        </w:rPr>
        <w:t>　　为保证地震应急工作科学统一、高效有序地进行，最大限度地减少人员伤亡、减轻经济损失和社会影响，结合我区实际，制定本预案。</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3" w:name="_Toc18859"/>
      <w:r>
        <w:rPr>
          <w:rFonts w:hint="eastAsia" w:ascii="仿宋_GB2312" w:eastAsia="仿宋_GB2312"/>
          <w:b w:val="0"/>
          <w:color w:val="auto"/>
          <w:sz w:val="32"/>
          <w:szCs w:val="32"/>
        </w:rPr>
        <w:t>1.2 编制依据</w:t>
      </w:r>
      <w:bookmarkEnd w:id="3"/>
    </w:p>
    <w:p>
      <w:pPr>
        <w:shd w:val="clear" w:color="auto" w:fill="FFFFFF"/>
        <w:spacing w:line="560" w:lineRule="exact"/>
        <w:ind w:firstLine="640" w:firstLineChars="200"/>
        <w:rPr>
          <w:rStyle w:val="32"/>
          <w:rFonts w:hint="default"/>
          <w:color w:val="auto"/>
        </w:rPr>
      </w:pPr>
      <w:r>
        <w:rPr>
          <w:rStyle w:val="32"/>
          <w:rFonts w:hint="default"/>
          <w:color w:val="auto"/>
        </w:rPr>
        <w:t>（1）《中华人民共和国突发事件应对法》；</w:t>
      </w:r>
    </w:p>
    <w:p>
      <w:pPr>
        <w:shd w:val="clear" w:color="auto" w:fill="FFFFFF"/>
        <w:spacing w:line="560" w:lineRule="exact"/>
        <w:ind w:firstLine="640" w:firstLineChars="200"/>
        <w:rPr>
          <w:rStyle w:val="32"/>
          <w:rFonts w:hint="default"/>
          <w:color w:val="auto"/>
        </w:rPr>
      </w:pPr>
      <w:r>
        <w:rPr>
          <w:rStyle w:val="32"/>
          <w:rFonts w:hint="default"/>
          <w:color w:val="auto"/>
        </w:rPr>
        <w:t>（2）</w:t>
      </w:r>
      <w:r>
        <w:rPr>
          <w:rFonts w:hint="eastAsia" w:ascii="仿宋_GB2312" w:eastAsia="仿宋_GB2312"/>
          <w:color w:val="auto"/>
          <w:sz w:val="32"/>
          <w:szCs w:val="32"/>
        </w:rPr>
        <w:t>《中华人民共和国防震减灾法》</w:t>
      </w:r>
      <w:r>
        <w:rPr>
          <w:rStyle w:val="32"/>
          <w:rFonts w:hint="default"/>
          <w:color w:val="auto"/>
        </w:rPr>
        <w:t>；</w:t>
      </w:r>
    </w:p>
    <w:p>
      <w:pPr>
        <w:shd w:val="clear" w:color="auto" w:fill="FFFFFF"/>
        <w:spacing w:line="560" w:lineRule="exact"/>
        <w:ind w:firstLine="640" w:firstLineChars="200"/>
        <w:rPr>
          <w:rStyle w:val="32"/>
          <w:rFonts w:hint="default"/>
          <w:color w:val="auto"/>
        </w:rPr>
      </w:pPr>
      <w:r>
        <w:rPr>
          <w:rStyle w:val="32"/>
          <w:rFonts w:hint="default"/>
          <w:color w:val="auto"/>
        </w:rPr>
        <w:t>（3）</w:t>
      </w:r>
      <w:r>
        <w:rPr>
          <w:rFonts w:hint="eastAsia" w:ascii="仿宋_GB2312" w:eastAsia="仿宋_GB2312"/>
          <w:color w:val="auto"/>
          <w:sz w:val="32"/>
          <w:szCs w:val="32"/>
        </w:rPr>
        <w:t>《国家地震应急预案》</w:t>
      </w:r>
      <w:r>
        <w:rPr>
          <w:rStyle w:val="32"/>
          <w:rFonts w:hint="default"/>
          <w:color w:val="auto"/>
        </w:rPr>
        <w:t>；</w:t>
      </w:r>
    </w:p>
    <w:p>
      <w:pPr>
        <w:shd w:val="clear" w:color="auto" w:fill="FFFFFF"/>
        <w:spacing w:line="560" w:lineRule="exact"/>
        <w:ind w:firstLine="640" w:firstLineChars="200"/>
        <w:rPr>
          <w:rFonts w:ascii="仿宋_GB2312" w:eastAsia="仿宋_GB2312"/>
          <w:color w:val="auto"/>
          <w:sz w:val="32"/>
          <w:szCs w:val="32"/>
        </w:rPr>
      </w:pPr>
      <w:r>
        <w:rPr>
          <w:rStyle w:val="32"/>
          <w:rFonts w:hint="default"/>
          <w:color w:val="auto"/>
        </w:rPr>
        <w:t>（4）</w:t>
      </w:r>
      <w:r>
        <w:rPr>
          <w:rFonts w:hint="eastAsia" w:ascii="仿宋_GB2312" w:eastAsia="仿宋_GB2312"/>
          <w:color w:val="auto"/>
          <w:sz w:val="32"/>
          <w:szCs w:val="32"/>
        </w:rPr>
        <w:t>《广东省突发事件应对条例》；</w:t>
      </w:r>
    </w:p>
    <w:p>
      <w:pPr>
        <w:shd w:val="clear" w:color="auto" w:fill="FFFFFF"/>
        <w:spacing w:line="560" w:lineRule="exact"/>
        <w:ind w:firstLine="640" w:firstLineChars="200"/>
        <w:rPr>
          <w:rStyle w:val="32"/>
          <w:rFonts w:hint="default"/>
          <w:color w:val="auto"/>
        </w:rPr>
      </w:pPr>
      <w:r>
        <w:rPr>
          <w:rStyle w:val="32"/>
          <w:rFonts w:hint="default"/>
          <w:color w:val="auto"/>
        </w:rPr>
        <w:t>（5）</w:t>
      </w:r>
      <w:r>
        <w:rPr>
          <w:rFonts w:hint="eastAsia" w:ascii="仿宋_GB2312" w:eastAsia="仿宋_GB2312"/>
          <w:color w:val="auto"/>
          <w:sz w:val="32"/>
          <w:szCs w:val="32"/>
        </w:rPr>
        <w:t>《广东省防震减灾条例》</w:t>
      </w:r>
      <w:r>
        <w:rPr>
          <w:rStyle w:val="32"/>
          <w:rFonts w:hint="default"/>
          <w:color w:val="auto"/>
        </w:rPr>
        <w:t>；</w:t>
      </w:r>
    </w:p>
    <w:p>
      <w:pPr>
        <w:shd w:val="clear" w:color="auto" w:fill="FFFFFF"/>
        <w:spacing w:line="560" w:lineRule="exact"/>
        <w:ind w:firstLine="640" w:firstLineChars="200"/>
        <w:rPr>
          <w:rStyle w:val="32"/>
          <w:rFonts w:hint="default"/>
          <w:color w:val="auto"/>
        </w:rPr>
      </w:pPr>
      <w:r>
        <w:rPr>
          <w:rStyle w:val="32"/>
          <w:rFonts w:hint="default"/>
          <w:color w:val="auto"/>
        </w:rPr>
        <w:t>（6）</w:t>
      </w:r>
      <w:r>
        <w:rPr>
          <w:rFonts w:hint="eastAsia" w:ascii="仿宋_GB2312" w:eastAsia="仿宋_GB2312"/>
          <w:color w:val="auto"/>
          <w:sz w:val="32"/>
          <w:szCs w:val="32"/>
        </w:rPr>
        <w:t>《广东省地震应急预案》</w:t>
      </w:r>
      <w:r>
        <w:rPr>
          <w:rStyle w:val="32"/>
          <w:rFonts w:hint="default"/>
          <w:color w:val="auto"/>
        </w:rPr>
        <w:t>；</w:t>
      </w:r>
    </w:p>
    <w:p>
      <w:pPr>
        <w:spacing w:line="560" w:lineRule="exact"/>
        <w:ind w:firstLine="640" w:firstLineChars="200"/>
        <w:rPr>
          <w:rFonts w:ascii="仿宋_GB2312" w:eastAsia="仿宋_GB2312"/>
          <w:color w:val="auto"/>
          <w:sz w:val="32"/>
          <w:szCs w:val="32"/>
        </w:rPr>
      </w:pPr>
      <w:r>
        <w:rPr>
          <w:rStyle w:val="32"/>
          <w:rFonts w:hint="default"/>
          <w:color w:val="auto"/>
        </w:rPr>
        <w:t>（7）</w:t>
      </w:r>
      <w:r>
        <w:rPr>
          <w:rFonts w:hint="eastAsia" w:ascii="仿宋_GB2312" w:eastAsia="仿宋_GB2312"/>
          <w:color w:val="auto"/>
          <w:sz w:val="32"/>
          <w:szCs w:val="32"/>
        </w:rPr>
        <w:t>《深圳市突发事件总体应急预案》；</w:t>
      </w:r>
    </w:p>
    <w:p>
      <w:pPr>
        <w:spacing w:line="560" w:lineRule="exact"/>
        <w:ind w:firstLine="640" w:firstLineChars="200"/>
        <w:rPr>
          <w:rFonts w:ascii="仿宋_GB2312" w:eastAsia="仿宋_GB2312"/>
          <w:color w:val="auto"/>
          <w:sz w:val="32"/>
          <w:szCs w:val="32"/>
        </w:rPr>
      </w:pPr>
      <w:r>
        <w:rPr>
          <w:rStyle w:val="32"/>
          <w:rFonts w:hint="default"/>
          <w:color w:val="auto"/>
        </w:rPr>
        <w:t>（8）</w:t>
      </w:r>
      <w:r>
        <w:rPr>
          <w:rFonts w:hint="eastAsia" w:ascii="仿宋_GB2312" w:eastAsia="仿宋_GB2312"/>
          <w:color w:val="auto"/>
          <w:sz w:val="32"/>
          <w:szCs w:val="32"/>
        </w:rPr>
        <w:t>《深圳市地震应急预案》；</w:t>
      </w:r>
    </w:p>
    <w:p>
      <w:pPr>
        <w:spacing w:line="560" w:lineRule="exact"/>
        <w:ind w:firstLine="640" w:firstLineChars="200"/>
        <w:rPr>
          <w:rFonts w:ascii="仿宋_GB2312" w:eastAsia="仿宋_GB2312"/>
          <w:color w:val="auto"/>
          <w:sz w:val="32"/>
          <w:szCs w:val="32"/>
        </w:rPr>
      </w:pPr>
      <w:r>
        <w:rPr>
          <w:rStyle w:val="32"/>
          <w:rFonts w:hint="default"/>
          <w:color w:val="auto"/>
        </w:rPr>
        <w:t>（9）</w:t>
      </w:r>
      <w:r>
        <w:rPr>
          <w:rFonts w:hint="eastAsia" w:ascii="仿宋_GB2312" w:eastAsia="仿宋_GB2312"/>
          <w:color w:val="auto"/>
          <w:sz w:val="32"/>
          <w:szCs w:val="32"/>
        </w:rPr>
        <w:t>《深圳市龙岗区突发事件总体应急预案》；</w:t>
      </w:r>
    </w:p>
    <w:p>
      <w:pPr>
        <w:shd w:val="clear" w:color="auto" w:fill="FFFFFF"/>
        <w:spacing w:line="560" w:lineRule="exact"/>
        <w:ind w:left="630" w:leftChars="300"/>
        <w:rPr>
          <w:rStyle w:val="32"/>
          <w:rFonts w:hint="default"/>
          <w:color w:val="auto"/>
        </w:rPr>
      </w:pPr>
      <w:r>
        <w:rPr>
          <w:rStyle w:val="32"/>
          <w:rFonts w:hint="default"/>
          <w:color w:val="auto"/>
        </w:rPr>
        <w:t>（10）其它法律、法规、规章和规范性文件。</w:t>
      </w:r>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bookmarkStart w:id="4" w:name="_Toc9116"/>
      <w:r>
        <w:rPr>
          <w:rFonts w:hint="eastAsia" w:ascii="仿宋_GB2312" w:eastAsia="仿宋_GB2312"/>
          <w:b w:val="0"/>
          <w:color w:val="auto"/>
          <w:sz w:val="32"/>
          <w:szCs w:val="32"/>
        </w:rPr>
        <w:t>1.3工作原则</w:t>
      </w:r>
      <w:bookmarkEnd w:id="4"/>
    </w:p>
    <w:p>
      <w:pPr>
        <w:spacing w:line="560" w:lineRule="exact"/>
        <w:rPr>
          <w:rFonts w:ascii="仿宋_GB2312" w:eastAsia="仿宋_GB2312"/>
          <w:color w:val="auto"/>
          <w:sz w:val="32"/>
          <w:szCs w:val="32"/>
        </w:rPr>
      </w:pPr>
      <w:r>
        <w:rPr>
          <w:rFonts w:hint="eastAsia" w:ascii="仿宋_GB2312" w:eastAsia="仿宋_GB2312"/>
          <w:color w:val="auto"/>
          <w:sz w:val="32"/>
          <w:szCs w:val="32"/>
        </w:rPr>
        <w:t>　　以人为本，减少损失；分工合作，协同应对；快速反应，科学处置。</w:t>
      </w:r>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5" w:name="_Toc14062"/>
      <w:r>
        <w:rPr>
          <w:rFonts w:hint="eastAsia" w:ascii="仿宋_GB2312" w:eastAsia="仿宋_GB2312"/>
          <w:b w:val="0"/>
          <w:color w:val="auto"/>
          <w:sz w:val="32"/>
          <w:szCs w:val="32"/>
        </w:rPr>
        <w:t>1.4 适用范围</w:t>
      </w:r>
      <w:bookmarkEnd w:id="5"/>
    </w:p>
    <w:p>
      <w:pPr>
        <w:spacing w:line="560" w:lineRule="exact"/>
        <w:rPr>
          <w:rFonts w:ascii="仿宋_GB2312" w:eastAsia="仿宋_GB2312"/>
          <w:color w:val="auto"/>
          <w:sz w:val="32"/>
          <w:szCs w:val="32"/>
        </w:rPr>
      </w:pPr>
      <w:r>
        <w:rPr>
          <w:rFonts w:hint="eastAsia" w:ascii="仿宋_GB2312" w:eastAsia="仿宋_GB2312"/>
          <w:color w:val="auto"/>
          <w:sz w:val="32"/>
          <w:szCs w:val="32"/>
        </w:rPr>
        <w:t>　　本预案适用于发生在本行政区域内，或发生在其它区涉及到本区部门、单位及人员，由区政府负责处置的一般地震灾害事件，或参与处置特别重大、重大、较大地震灾害事件，以及需要区政府协调处置的未达到级别地震灾害事件。</w:t>
      </w:r>
    </w:p>
    <w:p>
      <w:pPr>
        <w:pStyle w:val="2"/>
        <w:spacing w:before="0" w:after="0" w:line="560" w:lineRule="exact"/>
        <w:ind w:firstLine="643" w:firstLineChars="200"/>
        <w:rPr>
          <w:rFonts w:ascii="黑体" w:hAnsi="黑体" w:eastAsia="黑体"/>
          <w:color w:val="auto"/>
          <w:sz w:val="32"/>
          <w:szCs w:val="32"/>
        </w:rPr>
      </w:pPr>
      <w:bookmarkStart w:id="6" w:name="_Toc12665"/>
      <w:r>
        <w:rPr>
          <w:rFonts w:hint="eastAsia" w:ascii="黑体" w:hAnsi="黑体" w:eastAsia="黑体"/>
          <w:color w:val="auto"/>
          <w:sz w:val="32"/>
          <w:szCs w:val="32"/>
        </w:rPr>
        <w:t>2 组织体系</w:t>
      </w:r>
      <w:bookmarkEnd w:id="6"/>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7" w:name="_Toc7302"/>
      <w:r>
        <w:rPr>
          <w:rFonts w:hint="eastAsia" w:ascii="仿宋_GB2312" w:eastAsia="仿宋_GB2312"/>
          <w:b w:val="0"/>
          <w:color w:val="auto"/>
          <w:sz w:val="32"/>
          <w:szCs w:val="32"/>
        </w:rPr>
        <w:t>2.1区抗震救灾指挥部</w:t>
      </w:r>
      <w:bookmarkEnd w:id="7"/>
    </w:p>
    <w:p>
      <w:pPr>
        <w:spacing w:line="560" w:lineRule="exact"/>
        <w:rPr>
          <w:rFonts w:ascii="仿宋_GB2312" w:eastAsia="仿宋_GB2312"/>
          <w:color w:val="auto"/>
          <w:sz w:val="32"/>
          <w:szCs w:val="32"/>
        </w:rPr>
      </w:pPr>
      <w:r>
        <w:rPr>
          <w:rFonts w:hint="eastAsia" w:ascii="仿宋_GB2312" w:eastAsia="仿宋_GB2312"/>
          <w:color w:val="auto"/>
          <w:sz w:val="32"/>
          <w:szCs w:val="32"/>
        </w:rPr>
        <w:t>　　区抗震救灾指挥部（以下简称区指挥部）在区应急委的领导下，统一领导、组织、指挥、协调全区抗震救灾工作。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总指挥：分管地震工作的副区长。</w:t>
      </w:r>
    </w:p>
    <w:p>
      <w:pPr>
        <w:spacing w:line="560" w:lineRule="exact"/>
        <w:rPr>
          <w:rFonts w:ascii="仿宋_GB2312" w:eastAsia="仿宋_GB2312"/>
          <w:color w:val="auto"/>
          <w:sz w:val="32"/>
          <w:szCs w:val="32"/>
        </w:rPr>
      </w:pPr>
      <w:r>
        <w:rPr>
          <w:rFonts w:hint="eastAsia" w:ascii="仿宋_GB2312" w:eastAsia="仿宋_GB2312"/>
          <w:color w:val="auto"/>
          <w:sz w:val="32"/>
          <w:szCs w:val="32"/>
        </w:rPr>
        <w:t>　　副总指挥：区应急管理局局长</w:t>
      </w:r>
    </w:p>
    <w:p>
      <w:pPr>
        <w:spacing w:line="560" w:lineRule="exact"/>
        <w:rPr>
          <w:rFonts w:ascii="仿宋_GB2312" w:eastAsia="仿宋_GB2312"/>
          <w:color w:val="auto"/>
          <w:sz w:val="32"/>
          <w:szCs w:val="32"/>
        </w:rPr>
      </w:pPr>
      <w:r>
        <w:rPr>
          <w:rFonts w:hint="eastAsia" w:ascii="仿宋_GB2312" w:eastAsia="仿宋_GB2312"/>
          <w:color w:val="auto"/>
          <w:sz w:val="32"/>
          <w:szCs w:val="32"/>
        </w:rPr>
        <w:t>　　现场指挥官：区应急管理局局长或区总指挥指定的其他负责同志。</w:t>
      </w:r>
    </w:p>
    <w:p>
      <w:pPr>
        <w:spacing w:line="560" w:lineRule="exact"/>
        <w:ind w:firstLine="653"/>
        <w:rPr>
          <w:rFonts w:ascii="仿宋_GB2312" w:eastAsia="仿宋_GB2312"/>
          <w:color w:val="auto"/>
          <w:sz w:val="32"/>
          <w:szCs w:val="32"/>
        </w:rPr>
      </w:pPr>
      <w:r>
        <w:rPr>
          <w:rFonts w:hint="eastAsia" w:ascii="仿宋_GB2312" w:eastAsia="仿宋_GB2312"/>
          <w:color w:val="auto"/>
          <w:sz w:val="32"/>
          <w:szCs w:val="32"/>
        </w:rPr>
        <w:t>区抗震救灾指挥部成员由下列部门和单位负责人组成。 各成员单位根据应急响应级别，按照区抗震救灾指挥部的统一部署和各自职责，共同做好地震灾害应急处置工作。</w:t>
      </w:r>
    </w:p>
    <w:p>
      <w:pPr>
        <w:spacing w:line="579"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hAnsi="仿宋" w:eastAsia="仿宋_GB2312" w:cs="Arial"/>
          <w:color w:val="auto"/>
          <w:sz w:val="32"/>
          <w:szCs w:val="32"/>
        </w:rPr>
        <w:t>区监察委员会</w:t>
      </w:r>
      <w:r>
        <w:rPr>
          <w:rFonts w:hint="eastAsia" w:ascii="仿宋_GB2312" w:hAnsi="宋体" w:eastAsia="仿宋_GB2312"/>
          <w:snapToGrid w:val="0"/>
          <w:color w:val="auto"/>
          <w:kern w:val="24"/>
          <w:sz w:val="32"/>
          <w:szCs w:val="32"/>
        </w:rPr>
        <w:t>：</w:t>
      </w:r>
      <w:r>
        <w:rPr>
          <w:rFonts w:hint="eastAsia" w:ascii="仿宋_GB2312" w:eastAsia="仿宋_GB2312"/>
          <w:color w:val="auto"/>
          <w:sz w:val="32"/>
          <w:szCs w:val="32"/>
        </w:rPr>
        <w:t>负责监察有关单位及人员抗震救灾职责履行情况；监督救灾物资、资金的使用；调查、核实、处理抗震救灾违法、违纪事件。</w:t>
      </w:r>
    </w:p>
    <w:p>
      <w:pPr>
        <w:spacing w:line="560" w:lineRule="exact"/>
        <w:rPr>
          <w:rFonts w:ascii="仿宋_GB2312" w:eastAsia="仿宋_GB2312"/>
          <w:color w:val="auto"/>
          <w:sz w:val="32"/>
          <w:szCs w:val="32"/>
        </w:rPr>
      </w:pPr>
      <w:r>
        <w:rPr>
          <w:rFonts w:hint="eastAsia" w:ascii="仿宋_GB2312" w:eastAsia="仿宋_GB2312"/>
          <w:color w:val="auto"/>
          <w:sz w:val="32"/>
          <w:szCs w:val="32"/>
        </w:rPr>
        <w:t>　　（</w:t>
      </w:r>
      <w:r>
        <w:rPr>
          <w:rFonts w:ascii="仿宋_GB2312" w:eastAsia="仿宋_GB2312"/>
          <w:color w:val="auto"/>
          <w:sz w:val="32"/>
          <w:szCs w:val="32"/>
        </w:rPr>
        <w:t>2</w:t>
      </w:r>
      <w:r>
        <w:rPr>
          <w:rFonts w:hint="eastAsia" w:ascii="仿宋_GB2312" w:eastAsia="仿宋_GB2312"/>
          <w:color w:val="auto"/>
          <w:sz w:val="32"/>
          <w:szCs w:val="32"/>
        </w:rPr>
        <w:t>）区委宣传部：负责指导、协调有关街道、部门、单位做好抗震救灾的信息发布和舆论引导工作。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（3）区委统战部：协调处理在本区居住或临时逗留的在</w:t>
      </w:r>
      <w:r>
        <w:rPr>
          <w:rFonts w:hint="eastAsia" w:ascii="仿宋_GB2312" w:eastAsia="仿宋_GB2312"/>
          <w:color w:val="auto"/>
          <w:sz w:val="32"/>
          <w:szCs w:val="32"/>
          <w:lang w:val="en-US" w:eastAsia="zh-CN"/>
        </w:rPr>
        <w:t>深</w:t>
      </w:r>
      <w:r>
        <w:rPr>
          <w:rFonts w:hint="eastAsia" w:ascii="仿宋_GB2312" w:eastAsia="仿宋_GB2312"/>
          <w:color w:val="auto"/>
          <w:sz w:val="32"/>
          <w:szCs w:val="32"/>
        </w:rPr>
        <w:t>外国人员</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港澳</w:t>
      </w:r>
      <w:r>
        <w:rPr>
          <w:rFonts w:hint="eastAsia" w:ascii="仿宋_GB2312" w:eastAsia="仿宋_GB2312"/>
          <w:color w:val="auto"/>
          <w:sz w:val="32"/>
          <w:szCs w:val="32"/>
          <w:lang w:val="en-US" w:eastAsia="zh-CN"/>
        </w:rPr>
        <w:t>台人员</w:t>
      </w:r>
      <w:r>
        <w:rPr>
          <w:rFonts w:hint="eastAsia" w:ascii="仿宋_GB2312" w:eastAsia="仿宋_GB2312"/>
          <w:color w:val="auto"/>
          <w:sz w:val="32"/>
          <w:szCs w:val="32"/>
        </w:rPr>
        <w:t>在灾后的管理</w:t>
      </w:r>
      <w:r>
        <w:rPr>
          <w:rFonts w:hint="eastAsia" w:ascii="仿宋_GB2312" w:eastAsia="仿宋_GB2312"/>
          <w:color w:val="auto"/>
          <w:sz w:val="32"/>
          <w:szCs w:val="32"/>
          <w:lang w:val="en-US" w:eastAsia="zh-CN"/>
        </w:rPr>
        <w:t>重要事项等</w:t>
      </w:r>
      <w:r>
        <w:rPr>
          <w:rFonts w:hint="eastAsia" w:ascii="仿宋_GB2312" w:eastAsia="仿宋_GB2312"/>
          <w:color w:val="auto"/>
          <w:sz w:val="32"/>
          <w:szCs w:val="32"/>
        </w:rPr>
        <w:t>。</w:t>
      </w:r>
    </w:p>
    <w:p>
      <w:pPr>
        <w:ind w:firstLine="640" w:firstLineChars="200"/>
        <w:rPr>
          <w:rFonts w:ascii="仿宋_GB2312" w:hAnsi="宋体" w:eastAsia="仿宋_GB2312"/>
          <w:color w:val="auto"/>
          <w:sz w:val="24"/>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）区发展改革局：根据区级救灾物资储备规划、品种目录和标准、年度购置计划，负责区级救灾物资的收储、轮换、日常管理工作，并根据区应急管理部门下达的救灾物资动用指令，按程序组织调出相应物资。</w:t>
      </w:r>
    </w:p>
    <w:p>
      <w:pPr>
        <w:pStyle w:val="13"/>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区教育局：负责全区托幼机构及各级各类学校（不含技工学校）校舍和附属设施的灾后安全隐患排查和治理工作；组织开展防震减灾科普知识宣传工作和应急演练，组织在校师生在地震灾害发生时安全疏散。对学生和教职员工进行防震减灾知识宣传教育。按分工组织落实应急避难场所建设和维护管理工作。</w:t>
      </w:r>
    </w:p>
    <w:p>
      <w:pPr>
        <w:spacing w:line="56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6</w:t>
      </w:r>
      <w:r>
        <w:rPr>
          <w:rFonts w:hint="eastAsia" w:ascii="仿宋_GB2312" w:eastAsia="仿宋_GB2312"/>
          <w:color w:val="auto"/>
          <w:sz w:val="32"/>
          <w:szCs w:val="32"/>
        </w:rPr>
        <w:t>）</w:t>
      </w:r>
      <w:r>
        <w:rPr>
          <w:rFonts w:hint="eastAsia" w:ascii="仿宋_GB2312" w:hAnsi="宋体" w:eastAsia="仿宋_GB2312"/>
          <w:color w:val="auto"/>
          <w:sz w:val="32"/>
          <w:szCs w:val="32"/>
        </w:rPr>
        <w:t>区科技创新局：负责组织开展科技计划，加大对地震预测、预警和地震应急救援相关技术研发的支持力度。</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7</w:t>
      </w:r>
      <w:r>
        <w:rPr>
          <w:rFonts w:hint="eastAsia" w:ascii="仿宋_GB2312" w:eastAsia="仿宋_GB2312"/>
          <w:color w:val="auto"/>
          <w:sz w:val="32"/>
          <w:szCs w:val="32"/>
        </w:rPr>
        <w:t>）区工业和信息化局（</w:t>
      </w:r>
      <w:r>
        <w:rPr>
          <w:rFonts w:ascii="仿宋_GB2312" w:eastAsia="仿宋_GB2312"/>
          <w:color w:val="auto"/>
          <w:sz w:val="32"/>
          <w:szCs w:val="32"/>
        </w:rPr>
        <w:t>区金融工作局</w:t>
      </w:r>
      <w:r>
        <w:rPr>
          <w:rFonts w:hint="eastAsia" w:ascii="仿宋_GB2312" w:eastAsia="仿宋_GB2312"/>
          <w:color w:val="auto"/>
          <w:sz w:val="32"/>
          <w:szCs w:val="32"/>
        </w:rPr>
        <w:t>）：</w:t>
      </w:r>
      <w:r>
        <w:rPr>
          <w:rFonts w:hint="eastAsia" w:ascii="仿宋_GB2312" w:hAnsi="宋体" w:eastAsia="仿宋_GB2312"/>
          <w:color w:val="auto"/>
          <w:sz w:val="32"/>
          <w:szCs w:val="32"/>
        </w:rPr>
        <w:t>协调供电部门做好电力行业突发事件的电力运行和供给保障；协调做好金融领域突发事件的应急处置工作，协调市主管部门做好突发事件发生后本区成品油正常供应工作；组织、指导各街道及相关单位开展</w:t>
      </w:r>
      <w:r>
        <w:rPr>
          <w:rFonts w:hint="eastAsia" w:ascii="仿宋_GB2312" w:hAnsi="宋体" w:eastAsia="仿宋_GB2312" w:cs="Times New Roman"/>
          <w:color w:val="auto"/>
          <w:sz w:val="32"/>
          <w:szCs w:val="32"/>
        </w:rPr>
        <w:t>电力、辖区民用爆炸物品、再生资源等行业领域</w:t>
      </w:r>
      <w:r>
        <w:rPr>
          <w:rFonts w:hint="eastAsia" w:ascii="仿宋_GB2312" w:hAnsi="宋体" w:eastAsia="仿宋_GB2312"/>
          <w:color w:val="auto"/>
          <w:sz w:val="32"/>
          <w:szCs w:val="32"/>
        </w:rPr>
        <w:t>的隐患排查、落实防御措施。</w:t>
      </w:r>
    </w:p>
    <w:p>
      <w:pPr>
        <w:spacing w:line="579"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8</w:t>
      </w:r>
      <w:r>
        <w:rPr>
          <w:rFonts w:hint="eastAsia" w:ascii="仿宋_GB2312" w:eastAsia="仿宋_GB2312"/>
          <w:color w:val="auto"/>
          <w:sz w:val="32"/>
          <w:szCs w:val="32"/>
        </w:rPr>
        <w:t>）区财政局：负责做好应急资金的保障工作，监督、检查应急资金的使用。</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9</w:t>
      </w:r>
      <w:r>
        <w:rPr>
          <w:rFonts w:hint="eastAsia" w:ascii="仿宋_GB2312" w:eastAsia="仿宋_GB2312"/>
          <w:color w:val="auto"/>
          <w:sz w:val="32"/>
          <w:szCs w:val="32"/>
        </w:rPr>
        <w:t>）区住房建设局：</w:t>
      </w:r>
      <w:r>
        <w:rPr>
          <w:rFonts w:hint="eastAsia" w:ascii="仿宋_GB2312" w:hAnsi="宋体" w:eastAsia="仿宋_GB2312"/>
          <w:color w:val="auto"/>
          <w:sz w:val="32"/>
          <w:szCs w:val="32"/>
        </w:rPr>
        <w:t>督促指导各街道组织评估受灾建筑物的损坏程度，并组织</w:t>
      </w:r>
      <w:r>
        <w:rPr>
          <w:rFonts w:hint="eastAsia" w:ascii="仿宋_GB2312" w:eastAsia="仿宋_GB2312"/>
          <w:color w:val="auto"/>
          <w:sz w:val="32"/>
          <w:szCs w:val="32"/>
        </w:rPr>
        <w:t>监测、处置灾区房屋建筑和附属设施的安全隐患，组织评估受灾建筑物的损坏程度；督促指导施工企业做好灾后的隐患排查和安全生产；组织指导城区燃气抢险、抢修工作。</w:t>
      </w:r>
      <w:r>
        <w:rPr>
          <w:rFonts w:hint="eastAsia" w:ascii="仿宋_GB2312" w:hAnsi="宋体" w:eastAsia="仿宋_GB2312"/>
          <w:color w:val="auto"/>
          <w:sz w:val="32"/>
          <w:szCs w:val="32"/>
        </w:rPr>
        <w:t>对在建房屋、市政工程灾后进行检查，督促建筑施工场地防护和抗震工作，拆除危险悬挂物，组织工地内简易危房临时加固、做好施工人员安全转移，防范可能发生的次生灾害。</w:t>
      </w:r>
      <w:r>
        <w:rPr>
          <w:rFonts w:hint="eastAsia" w:ascii="仿宋_GB2312" w:eastAsia="仿宋_GB2312"/>
          <w:color w:val="auto"/>
          <w:sz w:val="32"/>
          <w:szCs w:val="32"/>
        </w:rPr>
        <w:t>组织、指导各街道督促物业公司做好人员疏散、物业管理区域的安全防范工作。</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10</w:t>
      </w:r>
      <w:r>
        <w:rPr>
          <w:rFonts w:hint="eastAsia" w:ascii="仿宋_GB2312" w:eastAsia="仿宋_GB2312"/>
          <w:color w:val="auto"/>
          <w:sz w:val="32"/>
          <w:szCs w:val="32"/>
        </w:rPr>
        <w:t>）区水务局：负责组织水情、汛情监测以及地震引发的次生洪涝灾害的处置工作、灾区安置区紧急用水工作；组织指导水利工程设施和城区供水工程设施抢修工作。</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11</w:t>
      </w:r>
      <w:r>
        <w:rPr>
          <w:rFonts w:hint="eastAsia" w:ascii="仿宋_GB2312" w:eastAsia="仿宋_GB2312"/>
          <w:color w:val="auto"/>
          <w:sz w:val="32"/>
          <w:szCs w:val="32"/>
        </w:rPr>
        <w:t>）区应急管理局：负责地震灾情速报、协助市应急管理局开展地震监测及趋势分析，提出应急响应级别建议；指导地震应急救援工作，参与地震灾害调查及损失评估；负责工矿商贸企业、危险化学品安全监督管理，防范次生灾害；指导协调全区做好灾害后的隐患排查和安全生产工作。指导协调应急避难场所建设管理工作；建立健全区地震应急指挥技术系统，形成上下贯通、反应灵敏、功能完善、统一高效的地震应急指挥平台。承担本专项应急指挥部办公室职责，统筹组织应对我区一般级别地震的应急抢险救援工作。</w:t>
      </w:r>
    </w:p>
    <w:p>
      <w:pPr>
        <w:shd w:val="clear" w:color="auto" w:fill="FFFFFF"/>
        <w:spacing w:line="560" w:lineRule="exact"/>
        <w:ind w:firstLine="640" w:firstLineChars="200"/>
        <w:rPr>
          <w:rFonts w:ascii="仿宋_GB2312" w:eastAsia="仿宋_GB2312"/>
          <w:color w:val="auto"/>
          <w:sz w:val="32"/>
          <w:szCs w:val="32"/>
        </w:rPr>
      </w:pPr>
      <w:r>
        <w:rPr>
          <w:rFonts w:hint="eastAsia" w:ascii="仿宋_GB2312" w:hAnsi="仿宋" w:eastAsia="仿宋_GB2312" w:cs="Arial"/>
          <w:color w:val="auto"/>
          <w:sz w:val="32"/>
          <w:szCs w:val="32"/>
        </w:rPr>
        <w:t>（1</w:t>
      </w:r>
      <w:r>
        <w:rPr>
          <w:rFonts w:ascii="仿宋_GB2312" w:hAnsi="仿宋" w:eastAsia="仿宋_GB2312" w:cs="Arial"/>
          <w:color w:val="auto"/>
          <w:sz w:val="32"/>
          <w:szCs w:val="32"/>
        </w:rPr>
        <w:t>2</w:t>
      </w:r>
      <w:r>
        <w:rPr>
          <w:rFonts w:hint="eastAsia" w:ascii="仿宋_GB2312" w:hAnsi="仿宋" w:eastAsia="仿宋_GB2312" w:cs="Arial"/>
          <w:color w:val="auto"/>
          <w:sz w:val="32"/>
          <w:szCs w:val="32"/>
        </w:rPr>
        <w:t>）</w:t>
      </w:r>
      <w:r>
        <w:rPr>
          <w:rFonts w:hint="eastAsia" w:ascii="仿宋_GB2312" w:eastAsia="仿宋_GB2312"/>
          <w:color w:val="auto"/>
          <w:sz w:val="32"/>
          <w:szCs w:val="32"/>
        </w:rPr>
        <w:t>区审计局：</w:t>
      </w:r>
      <w:r>
        <w:rPr>
          <w:rFonts w:hint="eastAsia" w:ascii="仿宋_GB2312" w:hAnsi="宋体" w:eastAsia="仿宋_GB2312"/>
          <w:color w:val="auto"/>
          <w:sz w:val="32"/>
          <w:szCs w:val="32"/>
        </w:rPr>
        <w:t>依照法律法规规章规定的职责、权限和程序</w:t>
      </w:r>
      <w:r>
        <w:rPr>
          <w:rFonts w:hint="eastAsia" w:ascii="仿宋_GB2312" w:eastAsia="仿宋_GB2312"/>
          <w:color w:val="auto"/>
          <w:sz w:val="32"/>
          <w:szCs w:val="32"/>
        </w:rPr>
        <w:t>负责救灾物资和资金使用情况审计。</w:t>
      </w:r>
    </w:p>
    <w:p>
      <w:pPr>
        <w:shd w:val="clear" w:color="auto" w:fill="FFFFFF"/>
        <w:spacing w:line="560" w:lineRule="exact"/>
        <w:ind w:firstLine="640" w:firstLineChars="200"/>
        <w:rPr>
          <w:rFonts w:ascii="仿宋_GB2312" w:eastAsia="仿宋_GB2312"/>
          <w:color w:val="auto"/>
          <w:sz w:val="32"/>
          <w:szCs w:val="32"/>
        </w:rPr>
      </w:pPr>
      <w:r>
        <w:rPr>
          <w:rFonts w:hint="eastAsia" w:ascii="仿宋_GB2312" w:hAnsi="仿宋" w:eastAsia="仿宋_GB2312" w:cs="Arial"/>
          <w:color w:val="auto"/>
          <w:sz w:val="32"/>
          <w:szCs w:val="32"/>
        </w:rPr>
        <w:t>（1</w:t>
      </w:r>
      <w:r>
        <w:rPr>
          <w:rFonts w:ascii="仿宋_GB2312" w:hAnsi="仿宋" w:eastAsia="仿宋_GB2312" w:cs="Arial"/>
          <w:color w:val="auto"/>
          <w:sz w:val="32"/>
          <w:szCs w:val="32"/>
        </w:rPr>
        <w:t>3</w:t>
      </w:r>
      <w:r>
        <w:rPr>
          <w:rFonts w:hint="eastAsia" w:ascii="仿宋_GB2312" w:hAnsi="仿宋" w:eastAsia="仿宋_GB2312" w:cs="Arial"/>
          <w:color w:val="auto"/>
          <w:sz w:val="32"/>
          <w:szCs w:val="32"/>
        </w:rPr>
        <w:t>）</w:t>
      </w:r>
      <w:r>
        <w:rPr>
          <w:rFonts w:hint="eastAsia" w:ascii="仿宋_GB2312" w:eastAsia="仿宋_GB2312"/>
          <w:color w:val="auto"/>
          <w:sz w:val="32"/>
          <w:szCs w:val="32"/>
        </w:rPr>
        <w:t>区国有资产监督管理局：负责调配所管理的国有企业相关应急队伍、物资、装备等应急资源，协助现场救援工作。</w:t>
      </w:r>
    </w:p>
    <w:p>
      <w:pPr>
        <w:spacing w:line="560" w:lineRule="exact"/>
        <w:ind w:firstLine="638"/>
        <w:rPr>
          <w:rFonts w:ascii="仿宋_GB2312" w:hAnsi="宋体"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14</w:t>
      </w:r>
      <w:r>
        <w:rPr>
          <w:rFonts w:hint="eastAsia" w:ascii="仿宋_GB2312" w:eastAsia="仿宋_GB2312"/>
          <w:color w:val="auto"/>
          <w:sz w:val="32"/>
          <w:szCs w:val="32"/>
        </w:rPr>
        <w:t>）</w:t>
      </w:r>
      <w:r>
        <w:rPr>
          <w:rFonts w:ascii="仿宋_GB2312" w:eastAsia="仿宋_GB2312"/>
          <w:color w:val="auto"/>
          <w:sz w:val="32"/>
          <w:szCs w:val="32"/>
        </w:rPr>
        <w:t>区城管和综合执法局</w:t>
      </w:r>
      <w:r>
        <w:rPr>
          <w:rFonts w:hint="eastAsia" w:ascii="仿宋_GB2312" w:eastAsia="仿宋_GB2312"/>
          <w:color w:val="auto"/>
          <w:sz w:val="32"/>
          <w:szCs w:val="32"/>
        </w:rPr>
        <w:t>：负责组织灾区园林绿化、环境卫生、防疫消杀、城区照明户外广告、建筑废物收纳场等设施的隐患排查和治理工作；组织指导灾后林业重建工作；按分工组织落实</w:t>
      </w:r>
      <w:r>
        <w:rPr>
          <w:rFonts w:hint="eastAsia" w:ascii="仿宋_GB2312" w:hAnsi="宋体" w:eastAsia="仿宋_GB2312"/>
          <w:color w:val="auto"/>
          <w:sz w:val="32"/>
          <w:szCs w:val="32"/>
        </w:rPr>
        <w:t>做好相关区属公园（绿地）的</w:t>
      </w:r>
      <w:r>
        <w:rPr>
          <w:rFonts w:hint="eastAsia" w:ascii="仿宋_GB2312" w:eastAsia="仿宋_GB2312"/>
          <w:color w:val="auto"/>
          <w:sz w:val="32"/>
          <w:szCs w:val="32"/>
        </w:rPr>
        <w:t>应急避难场所建设和维护管理工作。</w:t>
      </w:r>
      <w:r>
        <w:rPr>
          <w:rFonts w:hint="eastAsia" w:ascii="仿宋_GB2312" w:hAnsi="宋体" w:eastAsia="仿宋_GB2312"/>
          <w:color w:val="auto"/>
          <w:sz w:val="32"/>
          <w:szCs w:val="32"/>
        </w:rPr>
        <w:t>督促协调户外电子广告运营单位于2小时内</w:t>
      </w:r>
      <w:r>
        <w:rPr>
          <w:rFonts w:hint="eastAsia" w:ascii="仿宋_GB2312" w:hAnsi="宋体" w:eastAsia="仿宋_GB2312" w:cs="宋体"/>
          <w:color w:val="auto"/>
          <w:kern w:val="0"/>
          <w:sz w:val="32"/>
          <w:szCs w:val="32"/>
        </w:rPr>
        <w:t>刊播、滚动发布预警和防御次生灾害等相关抗震信息。灾后督促有关管理单位、业主加强户外广告牌、路灯设施的检查、加固；视情况组织切断霓虹灯招牌及危险室外电源；加强对所管辖区域树木、设施的排查，及时修剪、加固或清除影响安全的树木、设施等，</w:t>
      </w:r>
      <w:r>
        <w:rPr>
          <w:rFonts w:hint="eastAsia" w:ascii="仿宋_GB2312" w:hAnsi="宋体" w:eastAsia="仿宋_GB2312"/>
          <w:color w:val="auto"/>
          <w:sz w:val="32"/>
          <w:szCs w:val="32"/>
        </w:rPr>
        <w:t>防范可能发生的次生灾害。</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15</w:t>
      </w:r>
      <w:r>
        <w:rPr>
          <w:rFonts w:hint="eastAsia" w:ascii="仿宋_GB2312" w:eastAsia="仿宋_GB2312"/>
          <w:color w:val="auto"/>
          <w:sz w:val="32"/>
          <w:szCs w:val="32"/>
        </w:rPr>
        <w:t>)</w:t>
      </w:r>
      <w:r>
        <w:rPr>
          <w:rStyle w:val="32"/>
          <w:rFonts w:hint="default" w:hAnsi="Times New Roman" w:cs="Times New Roman"/>
          <w:color w:val="auto"/>
        </w:rPr>
        <w:t>区政务服务数据管理局</w:t>
      </w:r>
      <w:r>
        <w:rPr>
          <w:rFonts w:hint="eastAsia" w:ascii="仿宋_GB2312" w:eastAsia="仿宋_GB2312"/>
          <w:color w:val="auto"/>
          <w:sz w:val="32"/>
          <w:szCs w:val="32"/>
        </w:rPr>
        <w:t>：负责组织、协调基础电信运营企业尽快恢复受损毁的通信设施，建立有线与无线相结合、基础通信网络与机动通信系统相配套的应急通信保障系统，保证抗震救灾通信畅通。</w:t>
      </w:r>
      <w:r>
        <w:rPr>
          <w:rFonts w:hint="eastAsia" w:ascii="仿宋_GB2312" w:eastAsia="仿宋_GB2312"/>
          <w:bCs/>
          <w:color w:val="auto"/>
          <w:sz w:val="32"/>
          <w:szCs w:val="32"/>
        </w:rPr>
        <w:t>负责</w:t>
      </w:r>
      <w:r>
        <w:rPr>
          <w:rFonts w:hint="eastAsia" w:ascii="仿宋_GB2312" w:eastAsia="仿宋_GB2312"/>
          <w:color w:val="auto"/>
          <w:kern w:val="0"/>
          <w:sz w:val="32"/>
          <w:szCs w:val="32"/>
        </w:rPr>
        <w:t>做好联合值守、险情会商的会议保障工作，协助应急指挥调度工作顺利开展。</w:t>
      </w:r>
      <w:r>
        <w:rPr>
          <w:rFonts w:hint="eastAsia" w:ascii="仿宋_GB2312" w:eastAsia="仿宋_GB2312"/>
          <w:bCs/>
          <w:color w:val="auto"/>
          <w:sz w:val="32"/>
          <w:szCs w:val="21"/>
        </w:rPr>
        <w:t>负责配合区抗震指挥部做好抢险救灾期间政务数据的归集、管理、分析和安全保障工作。</w:t>
      </w:r>
    </w:p>
    <w:p>
      <w:pPr>
        <w:shd w:val="clear" w:color="auto" w:fill="FFFFFF"/>
        <w:spacing w:line="560" w:lineRule="exact"/>
        <w:ind w:firstLine="640" w:firstLineChars="200"/>
        <w:rPr>
          <w:rFonts w:ascii="仿宋_GB2312" w:hAnsi="仿宋" w:eastAsia="仿宋_GB2312" w:cs="Arial"/>
          <w:color w:val="auto"/>
          <w:sz w:val="32"/>
          <w:szCs w:val="32"/>
        </w:rPr>
      </w:pPr>
      <w:r>
        <w:rPr>
          <w:rFonts w:hint="eastAsia" w:ascii="仿宋_GB2312" w:hAnsi="仿宋" w:eastAsia="仿宋_GB2312" w:cs="Arial"/>
          <w:color w:val="auto"/>
          <w:sz w:val="32"/>
          <w:szCs w:val="32"/>
        </w:rPr>
        <w:t>（</w:t>
      </w:r>
      <w:r>
        <w:rPr>
          <w:rFonts w:ascii="仿宋_GB2312" w:hAnsi="仿宋" w:eastAsia="仿宋_GB2312" w:cs="Arial"/>
          <w:color w:val="auto"/>
          <w:sz w:val="32"/>
          <w:szCs w:val="32"/>
        </w:rPr>
        <w:t>16</w:t>
      </w:r>
      <w:r>
        <w:rPr>
          <w:rFonts w:hint="eastAsia" w:ascii="仿宋_GB2312" w:hAnsi="仿宋" w:eastAsia="仿宋_GB2312" w:cs="Arial"/>
          <w:color w:val="auto"/>
          <w:sz w:val="32"/>
          <w:szCs w:val="32"/>
        </w:rPr>
        <w:t>）区人武部：负责统筹协调解放军部队支援突发事件应急救援；组织全区民兵预备役维护社会治安，协助公安部门做好事故现场的外围警戒；参与抢救救援、疏散</w:t>
      </w:r>
      <w:r>
        <w:rPr>
          <w:rFonts w:hint="eastAsia" w:ascii="仿宋_GB2312" w:hAnsi="仿宋" w:eastAsia="仿宋_GB2312" w:cs="Arial"/>
          <w:color w:val="auto"/>
          <w:sz w:val="32"/>
          <w:szCs w:val="32"/>
          <w:lang w:eastAsia="zh-CN"/>
        </w:rPr>
        <w:t>受灾群众</w:t>
      </w:r>
      <w:r>
        <w:rPr>
          <w:rFonts w:hint="eastAsia" w:ascii="仿宋_GB2312" w:hAnsi="仿宋" w:eastAsia="仿宋_GB2312" w:cs="Arial"/>
          <w:color w:val="auto"/>
          <w:sz w:val="32"/>
          <w:szCs w:val="32"/>
        </w:rPr>
        <w:t>等。</w:t>
      </w:r>
    </w:p>
    <w:p>
      <w:pPr>
        <w:spacing w:line="560" w:lineRule="exact"/>
        <w:rPr>
          <w:rFonts w:ascii="仿宋_GB2312" w:eastAsia="仿宋_GB2312"/>
          <w:color w:val="auto"/>
          <w:sz w:val="32"/>
          <w:szCs w:val="32"/>
        </w:rPr>
      </w:pPr>
      <w:r>
        <w:rPr>
          <w:rFonts w:hint="eastAsia" w:ascii="仿宋_GB2312" w:eastAsia="仿宋_GB2312"/>
          <w:color w:val="auto"/>
          <w:sz w:val="32"/>
          <w:szCs w:val="32"/>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w:t>
      </w:r>
      <w:r>
        <w:rPr>
          <w:rFonts w:ascii="仿宋_GB2312" w:eastAsia="仿宋_GB2312"/>
          <w:color w:val="auto"/>
          <w:sz w:val="32"/>
          <w:szCs w:val="32"/>
        </w:rPr>
        <w:t>17</w:t>
      </w:r>
      <w:r>
        <w:rPr>
          <w:rFonts w:hint="eastAsia" w:ascii="仿宋_GB2312" w:eastAsia="仿宋_GB2312"/>
          <w:color w:val="auto"/>
          <w:sz w:val="32"/>
          <w:szCs w:val="32"/>
        </w:rPr>
        <w:t>）市规划和自然资源局龙岗管理局：</w:t>
      </w:r>
      <w:r>
        <w:rPr>
          <w:rFonts w:hint="eastAsia" w:ascii="仿宋_GB2312" w:eastAsia="仿宋_GB2312"/>
          <w:bCs/>
          <w:color w:val="auto"/>
          <w:sz w:val="32"/>
          <w:szCs w:val="32"/>
        </w:rPr>
        <w:t>负责指导全区地质灾害的监测预警和预报工作；</w:t>
      </w:r>
      <w:r>
        <w:rPr>
          <w:rFonts w:hint="eastAsia" w:ascii="仿宋_GB2312" w:hAnsi="Times New Roman" w:eastAsia="仿宋_GB2312" w:cs="Times New Roman"/>
          <w:bCs/>
          <w:color w:val="auto"/>
          <w:sz w:val="32"/>
          <w:szCs w:val="32"/>
        </w:rPr>
        <w:t>组织次生地质灾害排查，加强监测预警，防范次生地质灾害；提供次生地质灾害应急救援的技术支撑工作</w:t>
      </w:r>
      <w:r>
        <w:rPr>
          <w:rFonts w:hint="eastAsia" w:ascii="仿宋_GB2312" w:eastAsia="仿宋_GB2312"/>
          <w:bCs/>
          <w:color w:val="auto"/>
          <w:sz w:val="32"/>
          <w:szCs w:val="32"/>
        </w:rPr>
        <w:t>；组织指导重大地质灾害调查；根据重大地质灾害灾情、险情变化，提出防治措施和建议，并</w:t>
      </w:r>
      <w:r>
        <w:rPr>
          <w:rFonts w:hint="eastAsia" w:ascii="仿宋_GB2312" w:eastAsia="仿宋_GB2312"/>
          <w:color w:val="auto"/>
          <w:sz w:val="32"/>
          <w:szCs w:val="32"/>
        </w:rPr>
        <w:t>督促</w:t>
      </w:r>
      <w:r>
        <w:rPr>
          <w:rFonts w:hint="eastAsia" w:ascii="仿宋_GB2312" w:eastAsia="仿宋_GB2312"/>
          <w:color w:val="auto"/>
          <w:sz w:val="32"/>
        </w:rPr>
        <w:t>各街道</w:t>
      </w:r>
      <w:r>
        <w:rPr>
          <w:rFonts w:hint="eastAsia" w:ascii="仿宋_GB2312" w:eastAsia="仿宋_GB2312"/>
          <w:color w:val="auto"/>
          <w:sz w:val="32"/>
          <w:szCs w:val="32"/>
        </w:rPr>
        <w:t>和区相关部门开展地质灾害隐患排查、落实防御措施；协助</w:t>
      </w:r>
      <w:r>
        <w:rPr>
          <w:rFonts w:hint="eastAsia" w:ascii="仿宋_GB2312" w:eastAsia="仿宋_GB2312"/>
          <w:color w:val="auto"/>
          <w:sz w:val="32"/>
        </w:rPr>
        <w:t>各街道</w:t>
      </w:r>
      <w:r>
        <w:rPr>
          <w:rFonts w:hint="eastAsia" w:ascii="仿宋_GB2312" w:eastAsia="仿宋_GB2312"/>
          <w:color w:val="auto"/>
          <w:sz w:val="32"/>
          <w:szCs w:val="32"/>
        </w:rPr>
        <w:t>或区相关部门开展地质灾害危险区域人员的转移安置工作；</w:t>
      </w:r>
      <w:r>
        <w:rPr>
          <w:rFonts w:hint="eastAsia" w:ascii="仿宋_GB2312" w:hAnsi="Times New Roman" w:eastAsia="仿宋_GB2312" w:cs="Times New Roman"/>
          <w:bCs/>
          <w:color w:val="auto"/>
          <w:sz w:val="32"/>
          <w:szCs w:val="32"/>
        </w:rPr>
        <w:t>组织编制灾后城市重建规划。</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8</w:t>
      </w:r>
      <w:r>
        <w:rPr>
          <w:rFonts w:hint="eastAsia" w:ascii="仿宋_GB2312" w:eastAsia="仿宋_GB2312"/>
          <w:color w:val="auto"/>
          <w:sz w:val="32"/>
          <w:szCs w:val="32"/>
        </w:rPr>
        <w:t>）区卫生健康局：负责组织、开展灾区伤病员医疗救治工作</w:t>
      </w:r>
      <w:r>
        <w:rPr>
          <w:rFonts w:hint="eastAsia" w:ascii="仿宋_GB2312" w:hAnsi="宋体" w:eastAsia="仿宋_GB2312"/>
          <w:color w:val="auto"/>
          <w:sz w:val="32"/>
          <w:szCs w:val="32"/>
        </w:rPr>
        <w:t>、协调伤病员转运</w:t>
      </w:r>
      <w:r>
        <w:rPr>
          <w:rFonts w:hint="eastAsia" w:ascii="仿宋_GB2312" w:eastAsia="仿宋_GB2312"/>
          <w:color w:val="auto"/>
          <w:sz w:val="32"/>
          <w:szCs w:val="32"/>
        </w:rPr>
        <w:t>和疾病预防控制工作，报告伤病员救治信息和疾病防控工作、</w:t>
      </w:r>
      <w:r>
        <w:rPr>
          <w:rFonts w:hint="eastAsia" w:ascii="仿宋_GB2312" w:hAnsi="宋体" w:eastAsia="仿宋_GB2312"/>
          <w:color w:val="auto"/>
          <w:sz w:val="32"/>
          <w:szCs w:val="32"/>
        </w:rPr>
        <w:t>灾区防疫消杀工作</w:t>
      </w:r>
      <w:r>
        <w:rPr>
          <w:rFonts w:hint="eastAsia" w:ascii="仿宋_GB2312" w:eastAsia="仿宋_GB2312"/>
          <w:color w:val="auto"/>
          <w:sz w:val="32"/>
          <w:szCs w:val="32"/>
        </w:rPr>
        <w:t>。</w:t>
      </w:r>
    </w:p>
    <w:p>
      <w:pPr>
        <w:spacing w:line="560" w:lineRule="exact"/>
        <w:ind w:firstLine="638"/>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ascii="仿宋_GB2312" w:eastAsia="仿宋_GB2312"/>
          <w:color w:val="auto"/>
          <w:sz w:val="32"/>
          <w:szCs w:val="32"/>
        </w:rPr>
        <w:t>9</w:t>
      </w:r>
      <w:r>
        <w:rPr>
          <w:rFonts w:hint="eastAsia" w:ascii="仿宋_GB2312" w:eastAsia="仿宋_GB2312"/>
          <w:color w:val="auto"/>
          <w:sz w:val="32"/>
          <w:szCs w:val="32"/>
        </w:rPr>
        <w:t>）区民政局：</w:t>
      </w:r>
      <w:r>
        <w:rPr>
          <w:rFonts w:hint="eastAsia" w:ascii="仿宋_GB2312" w:hAnsi="宋体" w:eastAsia="仿宋_GB2312"/>
          <w:color w:val="auto"/>
          <w:sz w:val="32"/>
          <w:szCs w:val="32"/>
        </w:rPr>
        <w:t>提示和督促</w:t>
      </w:r>
      <w:r>
        <w:rPr>
          <w:rFonts w:hint="eastAsia" w:ascii="仿宋_GB2312" w:eastAsia="仿宋_GB2312"/>
          <w:color w:val="auto"/>
          <w:sz w:val="32"/>
          <w:szCs w:val="32"/>
        </w:rPr>
        <w:t>福利机构、救助机构做好防御准备，检查消除安全隐患，保障人员的安全；</w:t>
      </w:r>
      <w:r>
        <w:rPr>
          <w:rStyle w:val="32"/>
          <w:rFonts w:hint="default"/>
          <w:color w:val="auto"/>
        </w:rPr>
        <w:t>根据相关的社会救助政策、标准，对灾区人民实施救助</w:t>
      </w:r>
      <w:r>
        <w:rPr>
          <w:rStyle w:val="32"/>
          <w:rFonts w:hint="eastAsia" w:eastAsia="仿宋_GB2312"/>
          <w:color w:val="auto"/>
          <w:lang w:eastAsia="zh-CN"/>
        </w:rPr>
        <w:t>；</w:t>
      </w:r>
      <w:r>
        <w:rPr>
          <w:rStyle w:val="32"/>
          <w:rFonts w:hint="default"/>
          <w:color w:val="auto"/>
        </w:rPr>
        <w:t>妥善做好遇难人员遗体处理和家属的安抚工作</w:t>
      </w:r>
      <w:r>
        <w:rPr>
          <w:rStyle w:val="32"/>
          <w:rFonts w:hint="eastAsia" w:eastAsia="仿宋_GB2312"/>
          <w:color w:val="auto"/>
          <w:lang w:eastAsia="zh-CN"/>
        </w:rPr>
        <w:t>。</w:t>
      </w:r>
    </w:p>
    <w:p>
      <w:pPr>
        <w:spacing w:line="560" w:lineRule="exact"/>
        <w:rPr>
          <w:rFonts w:ascii="仿宋_GB2312" w:eastAsia="仿宋_GB2312"/>
          <w:color w:val="auto"/>
          <w:sz w:val="32"/>
          <w:szCs w:val="32"/>
        </w:rPr>
      </w:pPr>
      <w:r>
        <w:rPr>
          <w:rFonts w:hint="eastAsia" w:ascii="仿宋_GB2312" w:eastAsia="仿宋_GB2312"/>
          <w:color w:val="auto"/>
          <w:sz w:val="32"/>
          <w:szCs w:val="32"/>
        </w:rPr>
        <w:t>　　（</w:t>
      </w:r>
      <w:r>
        <w:rPr>
          <w:rFonts w:ascii="仿宋_GB2312" w:eastAsia="仿宋_GB2312"/>
          <w:color w:val="auto"/>
          <w:sz w:val="32"/>
          <w:szCs w:val="32"/>
        </w:rPr>
        <w:t>20</w:t>
      </w:r>
      <w:r>
        <w:rPr>
          <w:rFonts w:hint="eastAsia" w:ascii="仿宋_GB2312" w:eastAsia="仿宋_GB2312"/>
          <w:color w:val="auto"/>
          <w:sz w:val="32"/>
          <w:szCs w:val="32"/>
        </w:rPr>
        <w:t>）区司法局：负责灾区</w:t>
      </w:r>
      <w:r>
        <w:rPr>
          <w:rFonts w:hint="eastAsia" w:ascii="仿宋_GB2312" w:eastAsia="仿宋_GB2312"/>
          <w:sz w:val="32"/>
          <w:szCs w:val="32"/>
        </w:rPr>
        <w:t>应急救援提供必要的法律支撑服务</w:t>
      </w:r>
      <w:r>
        <w:rPr>
          <w:rFonts w:hint="eastAsia" w:ascii="仿宋_GB2312" w:hAnsi="仿宋_GB2312" w:eastAsia="仿宋_GB2312" w:cs="仿宋_GB2312"/>
          <w:sz w:val="32"/>
          <w:szCs w:val="32"/>
        </w:rPr>
        <w:t>。</w:t>
      </w:r>
    </w:p>
    <w:p>
      <w:pPr>
        <w:spacing w:line="560" w:lineRule="exact"/>
        <w:rPr>
          <w:rFonts w:ascii="仿宋_GB2312" w:eastAsia="仿宋_GB2312"/>
          <w:color w:val="auto"/>
          <w:sz w:val="32"/>
          <w:szCs w:val="32"/>
        </w:rPr>
      </w:pPr>
      <w:r>
        <w:rPr>
          <w:rFonts w:hint="eastAsia" w:ascii="仿宋_GB2312" w:eastAsia="仿宋_GB2312"/>
          <w:color w:val="auto"/>
          <w:sz w:val="32"/>
          <w:szCs w:val="32"/>
        </w:rPr>
        <w:t>　　（</w:t>
      </w:r>
      <w:r>
        <w:rPr>
          <w:rFonts w:ascii="仿宋_GB2312" w:eastAsia="仿宋_GB2312"/>
          <w:color w:val="auto"/>
          <w:sz w:val="32"/>
          <w:szCs w:val="32"/>
        </w:rPr>
        <w:t>21</w:t>
      </w:r>
      <w:r>
        <w:rPr>
          <w:rFonts w:hint="eastAsia" w:ascii="仿宋_GB2312" w:eastAsia="仿宋_GB2312"/>
          <w:color w:val="auto"/>
          <w:sz w:val="32"/>
          <w:szCs w:val="32"/>
        </w:rPr>
        <w:t>）</w:t>
      </w:r>
      <w:r>
        <w:rPr>
          <w:rFonts w:ascii="仿宋_GB2312" w:eastAsia="仿宋_GB2312"/>
          <w:color w:val="auto"/>
          <w:sz w:val="32"/>
          <w:szCs w:val="32"/>
        </w:rPr>
        <w:t>区文化广电旅游体育局</w:t>
      </w:r>
      <w:r>
        <w:rPr>
          <w:rFonts w:hint="eastAsia" w:ascii="仿宋_GB2312" w:eastAsia="仿宋_GB2312"/>
          <w:color w:val="auto"/>
          <w:sz w:val="32"/>
          <w:szCs w:val="32"/>
        </w:rPr>
        <w:t>：负责指导旅游企业、单位做好游客的安全疏散工作；负责指导有关企业、单位做好灾后的隐患排查和安全生产工作；负责指导协调完善广播电视传输覆盖网，建立完善应急广播体系，确保公众能及时、准确地获取政府发布的权威地震信息;负责指导及时、准确报道震情、灾情和抗震救灾工作；协助做好抗震救灾法规、政策及防震减灾科普知识的宣传工作。</w:t>
      </w:r>
    </w:p>
    <w:p>
      <w:pPr>
        <w:spacing w:line="579"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22</w:t>
      </w:r>
      <w:r>
        <w:rPr>
          <w:rFonts w:hint="eastAsia" w:ascii="仿宋_GB2312" w:eastAsia="仿宋_GB2312"/>
          <w:color w:val="auto"/>
          <w:sz w:val="32"/>
          <w:szCs w:val="32"/>
        </w:rPr>
        <w:t>）区审计局：</w:t>
      </w:r>
      <w:r>
        <w:rPr>
          <w:rFonts w:hint="eastAsia" w:ascii="仿宋_GB2312" w:hAnsi="宋体" w:eastAsia="仿宋_GB2312"/>
          <w:color w:val="auto"/>
          <w:sz w:val="32"/>
          <w:szCs w:val="32"/>
        </w:rPr>
        <w:t>依照法律法规规章规定的职责、权限和程序</w:t>
      </w:r>
      <w:r>
        <w:rPr>
          <w:rFonts w:hint="eastAsia" w:ascii="仿宋_GB2312" w:eastAsia="仿宋_GB2312"/>
          <w:color w:val="auto"/>
          <w:sz w:val="32"/>
          <w:szCs w:val="32"/>
        </w:rPr>
        <w:t>负责救灾物资和资金使用情况审计。</w:t>
      </w:r>
    </w:p>
    <w:p>
      <w:pPr>
        <w:spacing w:line="560" w:lineRule="exact"/>
        <w:ind w:firstLine="638"/>
        <w:rPr>
          <w:rFonts w:ascii="仿宋_GB2312" w:hAnsi="宋体"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23</w:t>
      </w:r>
      <w:r>
        <w:rPr>
          <w:rFonts w:hint="eastAsia" w:ascii="仿宋_GB2312" w:eastAsia="仿宋_GB2312"/>
          <w:color w:val="auto"/>
          <w:sz w:val="32"/>
          <w:szCs w:val="32"/>
        </w:rPr>
        <w:t>）龙岗公安分局：负责指挥、协调维护地震灾区现场治安秩序；</w:t>
      </w:r>
      <w:r>
        <w:rPr>
          <w:rFonts w:hint="eastAsia" w:ascii="仿宋_GB2312" w:hAnsi="宋体" w:eastAsia="仿宋_GB2312"/>
          <w:color w:val="auto"/>
          <w:sz w:val="32"/>
          <w:szCs w:val="32"/>
        </w:rPr>
        <w:t>负责灾区公安系统特殊单位（包括看守所、拘留所、收容教育所和公安强制隔离戒毒所）及群体的监控和安置等工作；指挥</w:t>
      </w:r>
      <w:r>
        <w:rPr>
          <w:rFonts w:hint="eastAsia" w:ascii="仿宋_GB2312" w:hAnsi="宋体" w:eastAsia="仿宋_GB2312"/>
          <w:color w:val="auto"/>
          <w:sz w:val="32"/>
          <w:szCs w:val="32"/>
          <w:lang w:eastAsia="zh-CN"/>
        </w:rPr>
        <w:t>受灾群众</w:t>
      </w:r>
      <w:r>
        <w:rPr>
          <w:rFonts w:hint="eastAsia" w:ascii="仿宋_GB2312" w:hAnsi="宋体" w:eastAsia="仿宋_GB2312"/>
          <w:color w:val="auto"/>
          <w:sz w:val="32"/>
          <w:szCs w:val="32"/>
        </w:rPr>
        <w:t>疏散、撤退。</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24</w:t>
      </w:r>
      <w:r>
        <w:rPr>
          <w:rFonts w:hint="eastAsia" w:ascii="仿宋_GB2312" w:eastAsia="仿宋_GB2312"/>
          <w:color w:val="auto"/>
          <w:sz w:val="32"/>
          <w:szCs w:val="32"/>
        </w:rPr>
        <w:t>）市交通运输局龙岗管理局：建立健全紧急运输保障体系，加强统一指挥调度；负责组织、指挥、协调抢修损毁的道路设施、协调抢修损毁的</w:t>
      </w:r>
      <w:r>
        <w:rPr>
          <w:rFonts w:hint="eastAsia" w:ascii="仿宋_GB2312" w:hAnsi="宋体" w:eastAsia="仿宋_GB2312"/>
          <w:color w:val="auto"/>
          <w:sz w:val="32"/>
          <w:szCs w:val="32"/>
        </w:rPr>
        <w:t>交通</w:t>
      </w:r>
      <w:r>
        <w:rPr>
          <w:rFonts w:hint="eastAsia" w:ascii="仿宋_GB2312" w:eastAsia="仿宋_GB2312"/>
          <w:color w:val="auto"/>
          <w:sz w:val="32"/>
          <w:szCs w:val="32"/>
        </w:rPr>
        <w:t>设施；组织协调运力，做好抢险救灾人员、物资以及撤离人员的紧急运输工作；负责督促和协调有关交通运输企业，做好地震灾后的隐患排查和安全生产工作。</w:t>
      </w:r>
      <w:r>
        <w:rPr>
          <w:rFonts w:hint="eastAsia" w:ascii="仿宋_GB2312" w:hAnsi="宋体" w:eastAsia="仿宋_GB2312"/>
          <w:color w:val="auto"/>
          <w:sz w:val="32"/>
          <w:szCs w:val="32"/>
        </w:rPr>
        <w:t>制定实施抢险救灾交通保障预案，及时抢修损毁的道路、桥梁。</w:t>
      </w:r>
    </w:p>
    <w:p>
      <w:pPr>
        <w:spacing w:line="560" w:lineRule="exact"/>
        <w:rPr>
          <w:rFonts w:ascii="仿宋_GB2312" w:eastAsia="仿宋_GB2312"/>
          <w:color w:val="auto"/>
          <w:sz w:val="32"/>
          <w:szCs w:val="32"/>
        </w:rPr>
      </w:pPr>
      <w:r>
        <w:rPr>
          <w:rFonts w:hint="eastAsia" w:ascii="仿宋_GB2312" w:eastAsia="仿宋_GB2312"/>
          <w:color w:val="auto"/>
          <w:sz w:val="32"/>
          <w:szCs w:val="32"/>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（2</w:t>
      </w:r>
      <w:r>
        <w:rPr>
          <w:rFonts w:ascii="仿宋_GB2312" w:eastAsia="仿宋_GB2312"/>
          <w:color w:val="auto"/>
          <w:sz w:val="32"/>
          <w:szCs w:val="32"/>
        </w:rPr>
        <w:t>5</w:t>
      </w:r>
      <w:r>
        <w:rPr>
          <w:rFonts w:hint="eastAsia" w:ascii="仿宋_GB2312" w:eastAsia="仿宋_GB2312"/>
          <w:color w:val="auto"/>
          <w:sz w:val="32"/>
          <w:szCs w:val="32"/>
        </w:rPr>
        <w:t>）市市场监督管理局龙岗监管局：负责加强市场监管，维护灾区市场稳定；负责依法打击制售假冒伪劣救灾物资违法行为；组织灾区动物疫病的预防、控制和扑灭工作，防止和控制动物疫病</w:t>
      </w:r>
      <w:r>
        <w:rPr>
          <w:rFonts w:hint="eastAsia" w:ascii="仿宋_GB2312" w:eastAsia="仿宋_GB2312"/>
          <w:color w:val="auto"/>
          <w:sz w:val="32"/>
          <w:szCs w:val="32"/>
          <w:lang w:eastAsia="zh-CN"/>
        </w:rPr>
        <w:t>暴发</w:t>
      </w:r>
      <w:r>
        <w:rPr>
          <w:rFonts w:hint="eastAsia" w:ascii="仿宋_GB2312" w:eastAsia="仿宋_GB2312"/>
          <w:color w:val="auto"/>
          <w:sz w:val="32"/>
          <w:szCs w:val="32"/>
        </w:rPr>
        <w:t>流行；组织开展灾后农牧业查灾、生产恢复和自救工作；负责食品安全应对处置和食品安全案件查处工作；督促、指导有关企业做好灾后的隐患排查和安全生产工作。负责灾区药品及其相关产品的质量安全监管，确保灾区药品安全；监管应急抢险人员和受灾群众发放食品的安全。</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6</w:t>
      </w:r>
      <w:r>
        <w:rPr>
          <w:rFonts w:hint="eastAsia" w:ascii="仿宋_GB2312" w:eastAsia="仿宋_GB2312"/>
          <w:color w:val="auto"/>
          <w:sz w:val="32"/>
          <w:szCs w:val="32"/>
        </w:rPr>
        <w:t>）市生态环境局龙岗管理局：负责组织地震环境事件应急监督管理，组织开展环境应急监测，落实突发环境事件应急预案管理，牵头一般和较大级别突发环境事件应急预警、响应、处置、信息发布，参与突发环境事件调查处理。负责地震辐射事故应急处理工作，参与民用核设施应急处理。</w:t>
      </w:r>
    </w:p>
    <w:p>
      <w:pPr>
        <w:spacing w:line="560" w:lineRule="exact"/>
        <w:rPr>
          <w:rFonts w:ascii="仿宋_GB2312" w:eastAsia="仿宋_GB2312"/>
          <w:color w:val="auto"/>
          <w:sz w:val="32"/>
          <w:szCs w:val="32"/>
        </w:rPr>
      </w:pPr>
      <w:r>
        <w:rPr>
          <w:rFonts w:hint="eastAsia" w:ascii="仿宋_GB2312" w:eastAsia="仿宋_GB2312"/>
          <w:color w:val="auto"/>
          <w:sz w:val="32"/>
          <w:szCs w:val="32"/>
        </w:rPr>
        <w:t>　　（2</w:t>
      </w:r>
      <w:r>
        <w:rPr>
          <w:rFonts w:ascii="仿宋_GB2312" w:eastAsia="仿宋_GB2312"/>
          <w:color w:val="auto"/>
          <w:sz w:val="32"/>
          <w:szCs w:val="32"/>
        </w:rPr>
        <w:t>7</w:t>
      </w:r>
      <w:r>
        <w:rPr>
          <w:rFonts w:hint="eastAsia" w:ascii="仿宋_GB2312" w:eastAsia="仿宋_GB2312"/>
          <w:color w:val="auto"/>
          <w:sz w:val="32"/>
          <w:szCs w:val="32"/>
        </w:rPr>
        <w:t>）龙岗区地税局、龙岗区国税局：负责落实有关针对灾区灾后恢复重建的税收政策。</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8</w:t>
      </w:r>
      <w:r>
        <w:rPr>
          <w:rFonts w:hint="eastAsia" w:ascii="仿宋_GB2312" w:eastAsia="仿宋_GB2312"/>
          <w:color w:val="auto"/>
          <w:sz w:val="32"/>
          <w:szCs w:val="32"/>
        </w:rPr>
        <w:t>）龙岗社保分局：负责建立地震灾害保险的协调联动机制。</w:t>
      </w:r>
    </w:p>
    <w:p>
      <w:pPr>
        <w:spacing w:line="579" w:lineRule="exact"/>
        <w:ind w:firstLine="640" w:firstLineChars="200"/>
        <w:rPr>
          <w:rFonts w:ascii="仿宋_GB2312" w:hAnsi="Times New Roman" w:eastAsia="仿宋_GB2312" w:cs="Times New Roman"/>
          <w:color w:val="auto"/>
          <w:sz w:val="32"/>
          <w:szCs w:val="24"/>
        </w:rPr>
      </w:pPr>
      <w:r>
        <w:rPr>
          <w:rFonts w:hint="eastAsia" w:ascii="仿宋_GB2312" w:eastAsia="仿宋_GB2312"/>
          <w:color w:val="auto"/>
          <w:sz w:val="32"/>
          <w:szCs w:val="32"/>
        </w:rPr>
        <w:t>（2</w:t>
      </w:r>
      <w:r>
        <w:rPr>
          <w:rFonts w:ascii="仿宋_GB2312" w:eastAsia="仿宋_GB2312"/>
          <w:color w:val="auto"/>
          <w:sz w:val="32"/>
          <w:szCs w:val="32"/>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深圳市龙岗区消防救援大队</w:t>
      </w:r>
      <w:r>
        <w:rPr>
          <w:rFonts w:hint="eastAsia" w:ascii="仿宋_GB2312" w:eastAsia="仿宋_GB2312"/>
          <w:color w:val="auto"/>
          <w:sz w:val="32"/>
          <w:szCs w:val="32"/>
        </w:rPr>
        <w:t>：负责组织实施地震</w:t>
      </w:r>
      <w:r>
        <w:rPr>
          <w:rFonts w:hint="eastAsia" w:ascii="仿宋_GB2312" w:hAnsi="Times New Roman" w:eastAsia="仿宋_GB2312" w:cs="Times New Roman"/>
          <w:color w:val="auto"/>
          <w:sz w:val="32"/>
          <w:szCs w:val="24"/>
        </w:rPr>
        <w:t>灾后</w:t>
      </w:r>
      <w:r>
        <w:rPr>
          <w:rFonts w:hint="eastAsia" w:ascii="仿宋_GB2312" w:eastAsia="仿宋_GB2312"/>
          <w:color w:val="auto"/>
          <w:sz w:val="32"/>
          <w:szCs w:val="32"/>
        </w:rPr>
        <w:t>救援、综合应急救援和消防应急抢险救灾工作</w:t>
      </w:r>
      <w:r>
        <w:rPr>
          <w:rFonts w:hint="eastAsia" w:ascii="仿宋_GB2312" w:hAnsi="仿宋_GB2312" w:cs="仿宋_GB2312"/>
          <w:color w:val="auto"/>
        </w:rPr>
        <w:t>，</w:t>
      </w:r>
      <w:r>
        <w:rPr>
          <w:rFonts w:hint="eastAsia" w:ascii="仿宋_GB2312" w:hAnsi="Times New Roman" w:eastAsia="仿宋_GB2312" w:cs="Times New Roman"/>
          <w:color w:val="auto"/>
          <w:sz w:val="32"/>
          <w:szCs w:val="24"/>
        </w:rPr>
        <w:t>督促有关企业灾后清除消防安全隐患。</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30</w:t>
      </w:r>
      <w:r>
        <w:rPr>
          <w:rFonts w:hint="eastAsia" w:ascii="仿宋_GB2312" w:eastAsia="仿宋_GB2312"/>
          <w:color w:val="auto"/>
          <w:sz w:val="32"/>
          <w:szCs w:val="32"/>
        </w:rPr>
        <w:t>）龙岗出入境检验检疫局：负责协调做好境外救援物资、救援人员的通关验放工作。</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1</w:t>
      </w:r>
      <w:r>
        <w:rPr>
          <w:rFonts w:hint="eastAsia" w:ascii="仿宋_GB2312" w:eastAsia="仿宋_GB2312"/>
          <w:color w:val="auto"/>
          <w:sz w:val="32"/>
          <w:szCs w:val="32"/>
        </w:rPr>
        <w:t>）龙岗供电局：负责管辖范围内的电力系统恢复及电力设施的抢险、抢修工作</w:t>
      </w:r>
      <w:r>
        <w:rPr>
          <w:rFonts w:hint="eastAsia" w:ascii="仿宋_GB2312" w:hAnsi="Times New Roman" w:eastAsia="仿宋_GB2312" w:cs="Arial Unicode MS"/>
          <w:bCs/>
          <w:color w:val="auto"/>
          <w:sz w:val="32"/>
          <w:szCs w:val="32"/>
        </w:rPr>
        <w:t>、紧急供电设备保障工作，</w:t>
      </w:r>
      <w:r>
        <w:rPr>
          <w:rFonts w:hint="eastAsia" w:ascii="仿宋_GB2312" w:eastAsia="仿宋_GB2312"/>
          <w:color w:val="auto"/>
          <w:sz w:val="32"/>
          <w:szCs w:val="32"/>
        </w:rPr>
        <w:t>确保灾区电力供应。</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2</w:t>
      </w:r>
      <w:r>
        <w:rPr>
          <w:rFonts w:hint="eastAsia" w:ascii="仿宋_GB2312" w:eastAsia="仿宋_GB2312"/>
          <w:color w:val="auto"/>
          <w:sz w:val="32"/>
          <w:szCs w:val="32"/>
        </w:rPr>
        <w:t>）</w:t>
      </w:r>
      <w:r>
        <w:rPr>
          <w:rFonts w:hint="eastAsia" w:ascii="仿宋_GB2312" w:hAnsi="仿宋" w:eastAsia="仿宋_GB2312" w:cs="Arial"/>
          <w:color w:val="auto"/>
          <w:sz w:val="32"/>
          <w:szCs w:val="32"/>
        </w:rPr>
        <w:t>龙岗交警大队、东部高速公路交警大队：负责突发事件现场或事故现场区域周边道路(包括高速公路)的交通管制、交通疏导分流，以及交通疏导信息的播发工作，禁止无关车辆进入危险区域，保障救援道路的畅通。</w:t>
      </w:r>
    </w:p>
    <w:p>
      <w:pPr>
        <w:pStyle w:val="5"/>
        <w:adjustRightInd w:val="0"/>
        <w:snapToGrid w:val="0"/>
        <w:spacing w:after="0" w:line="560" w:lineRule="exact"/>
        <w:ind w:firstLine="640" w:firstLineChars="200"/>
        <w:rPr>
          <w:rFonts w:ascii="仿宋_GB2312" w:eastAsia="仿宋_GB2312" w:cs="Arial Unicode MS"/>
          <w:bCs/>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3</w:t>
      </w:r>
      <w:r>
        <w:rPr>
          <w:rFonts w:hint="eastAsia" w:ascii="仿宋_GB2312" w:eastAsia="仿宋_GB2312"/>
          <w:color w:val="auto"/>
          <w:sz w:val="32"/>
          <w:szCs w:val="32"/>
        </w:rPr>
        <w:t>）深圳市深水龙岗水务集团有限公司</w:t>
      </w:r>
      <w:r>
        <w:rPr>
          <w:rFonts w:hint="eastAsia" w:ascii="仿宋_GB2312" w:eastAsia="仿宋_GB2312" w:cs="Arial Unicode MS"/>
          <w:color w:val="auto"/>
          <w:sz w:val="32"/>
          <w:szCs w:val="32"/>
        </w:rPr>
        <w:t>、</w:t>
      </w:r>
      <w:r>
        <w:rPr>
          <w:rFonts w:hint="eastAsia" w:ascii="仿宋_GB2312" w:eastAsia="仿宋_GB2312"/>
          <w:color w:val="auto"/>
          <w:sz w:val="32"/>
        </w:rPr>
        <w:t>深圳市布吉供水有限公司、深圳市龙岗坪地供水有限公司</w:t>
      </w:r>
      <w:r>
        <w:rPr>
          <w:rFonts w:hint="eastAsia" w:ascii="仿宋_GB2312" w:eastAsia="仿宋_GB2312" w:cs="Arial Unicode MS"/>
          <w:color w:val="auto"/>
          <w:sz w:val="32"/>
          <w:szCs w:val="32"/>
        </w:rPr>
        <w:t>：</w:t>
      </w:r>
      <w:r>
        <w:rPr>
          <w:rFonts w:hint="eastAsia" w:ascii="仿宋_GB2312" w:eastAsia="仿宋_GB2312" w:cs="Arial Unicode MS"/>
          <w:bCs/>
          <w:color w:val="auto"/>
          <w:sz w:val="32"/>
          <w:szCs w:val="32"/>
        </w:rPr>
        <w:t>负责组织抢修受损毁的供水设施，保障相关设施正常运行，在危险区域设置警示标志，必要时启用备用水源，负责辖区供水保障工作。</w:t>
      </w:r>
      <w:r>
        <w:rPr>
          <w:rFonts w:hint="eastAsia" w:ascii="仿宋_GB2312" w:eastAsia="仿宋_GB2312"/>
          <w:color w:val="auto"/>
          <w:sz w:val="32"/>
          <w:szCs w:val="32"/>
        </w:rPr>
        <w:t>负责所辖范围内的供水设施设备的抢险抢修工作</w:t>
      </w:r>
      <w:r>
        <w:rPr>
          <w:rFonts w:hint="eastAsia" w:ascii="仿宋_GB2312" w:eastAsia="仿宋_GB2312" w:cs="Arial Unicode MS"/>
          <w:bCs/>
          <w:color w:val="auto"/>
          <w:sz w:val="32"/>
          <w:szCs w:val="32"/>
        </w:rPr>
        <w:t>。</w:t>
      </w:r>
    </w:p>
    <w:p>
      <w:pPr>
        <w:spacing w:line="560" w:lineRule="exact"/>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4</w:t>
      </w:r>
      <w:r>
        <w:rPr>
          <w:rFonts w:hint="eastAsia" w:ascii="仿宋_GB2312" w:eastAsia="仿宋_GB2312"/>
          <w:color w:val="auto"/>
          <w:sz w:val="32"/>
          <w:szCs w:val="32"/>
        </w:rPr>
        <w:t>）深燃集团龙岗管道气公司：负责燃气设备和设施抢险、抢修工作，防范次生灾害，尽快恢复燃气供应。</w:t>
      </w:r>
    </w:p>
    <w:p>
      <w:pPr>
        <w:widowControl/>
        <w:spacing w:line="540" w:lineRule="exact"/>
        <w:ind w:left="-359" w:leftChars="-171" w:firstLine="960" w:firstLineChars="300"/>
        <w:rPr>
          <w:color w:val="auto"/>
        </w:rPr>
      </w:pPr>
      <w:r>
        <w:rPr>
          <w:rFonts w:hint="eastAsia" w:ascii="仿宋_GB2312" w:eastAsia="仿宋_GB2312"/>
          <w:color w:val="auto"/>
          <w:sz w:val="32"/>
          <w:szCs w:val="32"/>
        </w:rPr>
        <w:t>（</w:t>
      </w:r>
      <w:r>
        <w:rPr>
          <w:rFonts w:ascii="仿宋_GB2312" w:eastAsia="仿宋_GB2312"/>
          <w:color w:val="auto"/>
          <w:sz w:val="32"/>
          <w:szCs w:val="32"/>
        </w:rPr>
        <w:t>35</w:t>
      </w:r>
      <w:r>
        <w:rPr>
          <w:rFonts w:hint="eastAsia" w:ascii="仿宋_GB2312" w:eastAsia="仿宋_GB2312"/>
          <w:color w:val="auto"/>
          <w:sz w:val="32"/>
          <w:szCs w:val="32"/>
        </w:rPr>
        <w:t>）</w:t>
      </w:r>
      <w:r>
        <w:rPr>
          <w:rFonts w:hint="eastAsia" w:ascii="仿宋_GB2312" w:hAnsi="宋体" w:eastAsia="仿宋_GB2312"/>
          <w:color w:val="auto"/>
          <w:sz w:val="32"/>
          <w:szCs w:val="32"/>
        </w:rPr>
        <w:t>团区委：组织志愿者队伍参与应急救援、心理辅导等工作。</w:t>
      </w:r>
    </w:p>
    <w:p>
      <w:pPr>
        <w:pStyle w:val="5"/>
        <w:adjustRightInd w:val="0"/>
        <w:snapToGrid w:val="0"/>
        <w:spacing w:after="0" w:line="560" w:lineRule="exact"/>
        <w:ind w:firstLine="640" w:firstLineChars="200"/>
        <w:rPr>
          <w:rFonts w:ascii="仿宋_GB2312" w:eastAsia="仿宋_GB2312"/>
          <w:color w:val="auto"/>
          <w:sz w:val="32"/>
          <w:szCs w:val="32"/>
        </w:rPr>
      </w:pPr>
      <w:r>
        <w:rPr>
          <w:rFonts w:hint="eastAsia" w:ascii="仿宋_GB2312" w:hAnsi="仿宋" w:eastAsia="仿宋_GB2312" w:cs="Arial"/>
          <w:color w:val="auto"/>
          <w:sz w:val="32"/>
          <w:szCs w:val="32"/>
        </w:rPr>
        <w:t>（3</w:t>
      </w:r>
      <w:r>
        <w:rPr>
          <w:rFonts w:ascii="仿宋_GB2312" w:hAnsi="仿宋" w:eastAsia="仿宋_GB2312" w:cs="Arial"/>
          <w:color w:val="auto"/>
          <w:sz w:val="32"/>
          <w:szCs w:val="32"/>
        </w:rPr>
        <w:t>6</w:t>
      </w:r>
      <w:r>
        <w:rPr>
          <w:rFonts w:hint="eastAsia" w:ascii="仿宋_GB2312" w:hAnsi="仿宋" w:eastAsia="仿宋_GB2312" w:cs="Arial"/>
          <w:color w:val="auto"/>
          <w:sz w:val="32"/>
          <w:szCs w:val="32"/>
        </w:rPr>
        <w:t>）</w:t>
      </w:r>
      <w:r>
        <w:rPr>
          <w:rFonts w:hint="eastAsia" w:ascii="仿宋_GB2312" w:eastAsia="仿宋_GB2312"/>
          <w:color w:val="auto"/>
          <w:sz w:val="32"/>
          <w:szCs w:val="32"/>
        </w:rPr>
        <w:t>各街道办：</w:t>
      </w:r>
      <w:r>
        <w:rPr>
          <w:rFonts w:hint="eastAsia" w:ascii="仿宋_GB2312" w:eastAsia="仿宋_GB2312"/>
          <w:color w:val="auto"/>
          <w:sz w:val="32"/>
          <w:szCs w:val="32"/>
          <w:lang w:val="zh-CN"/>
        </w:rPr>
        <w:t>在区抗震救灾指挥部统一指挥下，组织开展本行政区域抗震救灾工作。</w:t>
      </w:r>
      <w:r>
        <w:rPr>
          <w:rFonts w:hint="eastAsia" w:ascii="仿宋_GB2312" w:eastAsia="仿宋_GB2312"/>
          <w:color w:val="auto"/>
          <w:sz w:val="32"/>
          <w:szCs w:val="32"/>
        </w:rPr>
        <w:t>负责建立健全相应的抗震救灾指挥机构，统一领导、组织、指挥、协调本区域内的抗震救灾工作。负责组织制定和实施本街道办地震应急预案;负责或协助本街道办应急救灾物资储备库和地震应急避难场所建设;组织建立健全综合救援队伍、专业救援队伍和基层地震抢险救灾队伍，加强日常管理和演练；组织动员社会各方面力量，发挥红十字会作用，依托社会团体、企(事)业单位及社区建立地震应急救援志愿者队伍，形成广泛参与地震应急救援的社会动员机制;加强地震应急宣传教育和培训;组织负责本街道办的地震应急救援的先期紧急处置，及时组织实施人员紧急救助、疏散安置，控制地震次生、衍生灾害，开展社会动员等地震应急救援工作;启动地震灾害Ⅳ级以上响应后，负责建立抗震救灾现场指挥部，在上级政府的统一领导下开展应急处置工作。</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8" w:name="_Toc8897"/>
      <w:r>
        <w:rPr>
          <w:rFonts w:hint="eastAsia" w:ascii="仿宋_GB2312" w:eastAsia="仿宋_GB2312"/>
          <w:b w:val="0"/>
          <w:color w:val="auto"/>
          <w:sz w:val="32"/>
          <w:szCs w:val="32"/>
        </w:rPr>
        <w:t>2.2 区抗震救灾指挥部办公室</w:t>
      </w:r>
      <w:bookmarkEnd w:id="8"/>
    </w:p>
    <w:p>
      <w:pPr>
        <w:spacing w:line="560" w:lineRule="exact"/>
        <w:rPr>
          <w:rFonts w:ascii="仿宋_GB2312" w:eastAsia="仿宋_GB2312"/>
          <w:color w:val="auto"/>
          <w:sz w:val="32"/>
          <w:szCs w:val="32"/>
        </w:rPr>
      </w:pPr>
      <w:r>
        <w:rPr>
          <w:rFonts w:hint="eastAsia" w:ascii="仿宋_GB2312" w:eastAsia="仿宋_GB2312"/>
          <w:color w:val="auto"/>
          <w:sz w:val="32"/>
          <w:szCs w:val="32"/>
        </w:rPr>
        <w:t>　　区抗震救灾指挥部办公室设在区应急管理局，负责抗震救灾的协调工作。办公室主任由区应急管理局分管应急副局长兼任。主要职责：贯彻区抗震救灾指挥部指示和部署，汇总、上报险情、灾情和应急处置情况;提出启动、终止应急响应的建议及应急处置方案；办理区抗震救灾指挥部文电，起草相关简报；承担区抗震救灾指挥部交办的其他工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根据应急需要，区抗震救灾指挥部依据各单位职能成立综合协调组、应急专家组、抢险救援组、治安疏导组、医疗卫生组、新闻舆情组、后勤保障组、交通运输组、军地联动协调组、环境保护组、涉外（港澳台）联络组、善后处置组共1</w:t>
      </w:r>
      <w:r>
        <w:rPr>
          <w:rFonts w:ascii="仿宋_GB2312" w:eastAsia="仿宋_GB2312"/>
          <w:color w:val="auto"/>
          <w:sz w:val="32"/>
          <w:szCs w:val="32"/>
        </w:rPr>
        <w:t>2</w:t>
      </w:r>
      <w:r>
        <w:rPr>
          <w:rFonts w:hint="eastAsia" w:ascii="仿宋_GB2312" w:eastAsia="仿宋_GB2312"/>
          <w:color w:val="auto"/>
          <w:sz w:val="32"/>
          <w:szCs w:val="32"/>
        </w:rPr>
        <w:t>个指挥工作组（见附件1），具体指挥协调相关地震抢险救灾工作。</w:t>
      </w:r>
      <w:r>
        <w:rPr>
          <w:rFonts w:hint="eastAsia" w:ascii="仿宋_GB2312" w:eastAsia="仿宋_GB2312"/>
          <w:color w:val="auto"/>
          <w:sz w:val="32"/>
          <w:szCs w:val="32"/>
          <w:lang w:val="en-US" w:eastAsia="zh-CN"/>
        </w:rPr>
        <w:t>各工作组</w:t>
      </w:r>
      <w:r>
        <w:rPr>
          <w:rFonts w:hint="eastAsia" w:ascii="仿宋_GB2312" w:eastAsia="仿宋_GB2312"/>
          <w:color w:val="auto"/>
          <w:sz w:val="32"/>
          <w:szCs w:val="32"/>
        </w:rPr>
        <w:t>视情况启动运作，</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组人员由相关单位临时抽调组建，牵头成员单位负责人任指挥工作组组长，其它成员单位行政负责人任副组长。</w:t>
      </w:r>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9" w:name="_Toc29592"/>
      <w:r>
        <w:rPr>
          <w:rFonts w:hint="eastAsia" w:ascii="仿宋_GB2312" w:eastAsia="仿宋_GB2312"/>
          <w:b w:val="0"/>
          <w:color w:val="auto"/>
          <w:sz w:val="32"/>
          <w:szCs w:val="32"/>
        </w:rPr>
        <w:t>2.3 专家组</w:t>
      </w:r>
      <w:bookmarkEnd w:id="9"/>
    </w:p>
    <w:p>
      <w:pPr>
        <w:spacing w:line="560" w:lineRule="exact"/>
        <w:rPr>
          <w:rFonts w:ascii="仿宋_GB2312" w:eastAsia="仿宋_GB2312"/>
          <w:color w:val="auto"/>
          <w:sz w:val="32"/>
          <w:szCs w:val="32"/>
        </w:rPr>
      </w:pPr>
      <w:r>
        <w:rPr>
          <w:rFonts w:hint="eastAsia" w:ascii="仿宋_GB2312" w:eastAsia="仿宋_GB2312"/>
          <w:color w:val="auto"/>
          <w:sz w:val="32"/>
          <w:szCs w:val="32"/>
        </w:rPr>
        <w:t>　　区地震主管部门成立地震应急工作专家组，完善相关咨询机制，为应急指挥辅助决策、地震监测和趋势判断、地震灾害紧急救援、灾害损失评估、地震烈度考察、房屋安全鉴定等提供人才保障。</w:t>
      </w:r>
    </w:p>
    <w:p>
      <w:pPr>
        <w:pStyle w:val="2"/>
        <w:spacing w:before="0" w:after="0" w:line="560" w:lineRule="exact"/>
        <w:ind w:firstLine="643" w:firstLineChars="200"/>
        <w:rPr>
          <w:rFonts w:ascii="黑体" w:hAnsi="黑体" w:eastAsia="黑体"/>
          <w:color w:val="auto"/>
          <w:sz w:val="32"/>
          <w:szCs w:val="32"/>
        </w:rPr>
      </w:pPr>
      <w:bookmarkStart w:id="10" w:name="_Toc26987"/>
      <w:r>
        <w:rPr>
          <w:rFonts w:hint="eastAsia" w:ascii="黑体" w:hAnsi="黑体" w:eastAsia="黑体"/>
          <w:color w:val="auto"/>
          <w:sz w:val="32"/>
          <w:szCs w:val="32"/>
        </w:rPr>
        <w:t>3 运行机制</w:t>
      </w:r>
      <w:bookmarkEnd w:id="10"/>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bookmarkStart w:id="11" w:name="_Toc22044"/>
      <w:r>
        <w:rPr>
          <w:rFonts w:hint="eastAsia" w:ascii="仿宋_GB2312" w:eastAsia="仿宋_GB2312"/>
          <w:b w:val="0"/>
          <w:color w:val="auto"/>
          <w:sz w:val="32"/>
          <w:szCs w:val="32"/>
        </w:rPr>
        <w:t>3.1监测预报</w:t>
      </w:r>
      <w:bookmarkEnd w:id="11"/>
    </w:p>
    <w:p>
      <w:pPr>
        <w:spacing w:line="560" w:lineRule="exact"/>
        <w:rPr>
          <w:rFonts w:ascii="仿宋_GB2312" w:eastAsia="仿宋_GB2312"/>
          <w:color w:val="auto"/>
          <w:sz w:val="32"/>
          <w:szCs w:val="32"/>
        </w:rPr>
      </w:pPr>
      <w:r>
        <w:rPr>
          <w:rFonts w:hint="eastAsia" w:ascii="仿宋_GB2312" w:eastAsia="仿宋_GB2312"/>
          <w:color w:val="auto"/>
          <w:sz w:val="32"/>
          <w:szCs w:val="32"/>
        </w:rPr>
        <w:t>　　3.1.1监测报告。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区应急管理局负责协助市应急管理局（地震局）对地震各类观测信息进行监测、传递、分析、处理、存储和报送，并进行震情跟踪。</w:t>
      </w:r>
    </w:p>
    <w:p>
      <w:pPr>
        <w:spacing w:line="560" w:lineRule="exact"/>
        <w:rPr>
          <w:rFonts w:ascii="仿宋_GB2312" w:eastAsia="仿宋_GB2312"/>
          <w:color w:val="auto"/>
          <w:sz w:val="32"/>
          <w:szCs w:val="32"/>
        </w:rPr>
      </w:pPr>
      <w:r>
        <w:rPr>
          <w:rFonts w:hint="eastAsia" w:ascii="仿宋_GB2312" w:eastAsia="仿宋_GB2312"/>
          <w:color w:val="auto"/>
          <w:sz w:val="32"/>
          <w:szCs w:val="32"/>
        </w:rPr>
        <w:t>　　3.1.2 预测预报</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全国性的地震长期预报和地震中期预报，由国务院发布。广东省行政区域内的地震长期预报、中期预报、短期预报和临震预报，由省政府发布。</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广东省已经发布地震短期预报的，如果我市发现明显临震异常，在紧急情况下，市政府可以发布48小时之内的临震预报，并同时向省政府、省地震局和中国地震局报告。</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市应急管理局（地震局）负责收集、管理全市地震观测数据，加强震情跟踪监测、预测预报和群测群防工作，组织加强应急防范措施，及时对地震预测意见和可能与地震有关的异常现象进行综合分析研判。</w:t>
      </w:r>
    </w:p>
    <w:p>
      <w:pPr>
        <w:spacing w:line="560" w:lineRule="exact"/>
        <w:ind w:firstLine="800" w:firstLineChars="250"/>
        <w:rPr>
          <w:rFonts w:ascii="仿宋_GB2312" w:eastAsia="仿宋_GB2312"/>
          <w:color w:val="auto"/>
          <w:sz w:val="32"/>
          <w:szCs w:val="32"/>
        </w:rPr>
      </w:pPr>
      <w:r>
        <w:rPr>
          <w:rFonts w:hint="eastAsia" w:ascii="仿宋_GB2312" w:eastAsia="仿宋_GB2312"/>
          <w:color w:val="auto"/>
          <w:sz w:val="32"/>
          <w:szCs w:val="32"/>
        </w:rPr>
        <w:t>区应急管理局负责协助市应急管理局（地震局）收集、管理全区地震观测数据，加强震情跟踪监测、预测预报和群测群防工作，组织加强应急防范措施，及时对地震预测意见和可能与地震有关的异常现象进行报告。</w:t>
      </w:r>
    </w:p>
    <w:p>
      <w:pPr>
        <w:spacing w:line="560" w:lineRule="exact"/>
        <w:rPr>
          <w:rFonts w:ascii="仿宋_GB2312" w:eastAsia="仿宋_GB2312"/>
          <w:color w:val="auto"/>
          <w:sz w:val="32"/>
          <w:szCs w:val="32"/>
        </w:rPr>
      </w:pPr>
      <w:r>
        <w:rPr>
          <w:rFonts w:hint="eastAsia" w:ascii="仿宋_GB2312" w:eastAsia="仿宋_GB2312"/>
          <w:color w:val="auto"/>
          <w:sz w:val="32"/>
          <w:szCs w:val="32"/>
        </w:rPr>
        <w:t>　　3.1.3预防行动。</w:t>
      </w:r>
    </w:p>
    <w:p>
      <w:pPr>
        <w:spacing w:line="560" w:lineRule="exact"/>
        <w:rPr>
          <w:rFonts w:ascii="仿宋_GB2312" w:eastAsia="仿宋_GB2312"/>
          <w:color w:val="auto"/>
          <w:sz w:val="32"/>
          <w:szCs w:val="32"/>
        </w:rPr>
      </w:pPr>
      <w:r>
        <w:rPr>
          <w:rFonts w:hint="eastAsia" w:ascii="仿宋_GB2312" w:eastAsia="仿宋_GB2312"/>
          <w:color w:val="auto"/>
          <w:sz w:val="32"/>
          <w:szCs w:val="32"/>
        </w:rPr>
        <w:t>　　（1）区应急管理局协助市应急管理局（地震局）开展地震预防预警工作；新建、扩建、改建建设工程，应当达到抗震要求；协助市应急管理局加强城区震害预测和活断层调查工作，科学选址、合理规划，提高防震减灾能力；制定</w:t>
      </w:r>
      <w:r>
        <w:rPr>
          <w:rFonts w:hint="eastAsia" w:ascii="仿宋_GB2312" w:eastAsia="仿宋_GB2312"/>
          <w:color w:val="auto"/>
          <w:sz w:val="32"/>
          <w:szCs w:val="32"/>
          <w:lang w:val="en-US" w:eastAsia="zh-CN"/>
        </w:rPr>
        <w:t>区级</w:t>
      </w:r>
      <w:r>
        <w:rPr>
          <w:rFonts w:hint="eastAsia" w:ascii="仿宋_GB2312" w:eastAsia="仿宋_GB2312"/>
          <w:color w:val="auto"/>
          <w:sz w:val="32"/>
          <w:szCs w:val="32"/>
        </w:rPr>
        <w:t>宣传活动计划，组织开展防震减灾知识的宣传教育工作，普及防震减灾知识；区有关部门加强抗震救灾指挥体系建设，建立相关制度，明确分工，组织演练，健全指挥调度、协调联动、信息共享、社会动员等工作机制，提高地震应急救援和灾后恢复重建能力。</w:t>
      </w:r>
    </w:p>
    <w:p>
      <w:pPr>
        <w:spacing w:line="560" w:lineRule="exact"/>
        <w:rPr>
          <w:rFonts w:ascii="仿宋_GB2312" w:eastAsia="仿宋_GB2312"/>
          <w:color w:val="auto"/>
          <w:sz w:val="32"/>
          <w:szCs w:val="32"/>
        </w:rPr>
      </w:pPr>
      <w:r>
        <w:rPr>
          <w:rFonts w:hint="eastAsia" w:ascii="仿宋_GB2312" w:eastAsia="仿宋_GB2312"/>
          <w:color w:val="auto"/>
          <w:sz w:val="32"/>
          <w:szCs w:val="32"/>
        </w:rPr>
        <w:t>　　（2）区有关部门</w:t>
      </w:r>
      <w:r>
        <w:rPr>
          <w:rFonts w:hint="eastAsia" w:ascii="仿宋_GB2312" w:eastAsia="仿宋_GB2312"/>
          <w:color w:val="auto"/>
          <w:sz w:val="32"/>
          <w:szCs w:val="32"/>
          <w:lang w:val="en-US" w:eastAsia="zh-CN"/>
        </w:rPr>
        <w:t>及街道</w:t>
      </w:r>
      <w:r>
        <w:rPr>
          <w:rFonts w:hint="eastAsia" w:ascii="仿宋_GB2312" w:eastAsia="仿宋_GB2312"/>
          <w:color w:val="auto"/>
          <w:sz w:val="32"/>
          <w:szCs w:val="32"/>
        </w:rPr>
        <w:t>要采取应急防御措施，根据震情发展、建筑物抗震能力及周围工程设施情况及时发布避震通知，必要时组织避震疏散；有关单位对生命线工程和次生灾害源应采取紧急防护措施，督促检查抢险救灾准备工作；平息地震谣传或误传，维护社会稳定。</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12" w:name="_Toc20481"/>
      <w:r>
        <w:rPr>
          <w:rFonts w:hint="eastAsia" w:ascii="仿宋_GB2312" w:eastAsia="仿宋_GB2312"/>
          <w:b w:val="0"/>
          <w:color w:val="auto"/>
          <w:sz w:val="32"/>
          <w:szCs w:val="32"/>
        </w:rPr>
        <w:t>3.2 应急处置</w:t>
      </w:r>
      <w:bookmarkEnd w:id="12"/>
    </w:p>
    <w:p>
      <w:pPr>
        <w:spacing w:line="560" w:lineRule="exact"/>
        <w:rPr>
          <w:rFonts w:ascii="仿宋_GB2312" w:eastAsia="仿宋_GB2312"/>
          <w:color w:val="auto"/>
          <w:sz w:val="32"/>
          <w:szCs w:val="32"/>
        </w:rPr>
      </w:pPr>
      <w:r>
        <w:rPr>
          <w:rFonts w:hint="eastAsia" w:ascii="仿宋_GB2312" w:eastAsia="仿宋_GB2312"/>
          <w:color w:val="auto"/>
          <w:sz w:val="32"/>
          <w:szCs w:val="32"/>
        </w:rPr>
        <w:t>　　3.2.1 信息报告。</w:t>
      </w:r>
    </w:p>
    <w:p>
      <w:pPr>
        <w:spacing w:line="560" w:lineRule="exact"/>
        <w:rPr>
          <w:rFonts w:ascii="仿宋_GB2312" w:eastAsia="仿宋_GB2312"/>
          <w:color w:val="auto"/>
          <w:sz w:val="32"/>
          <w:szCs w:val="32"/>
        </w:rPr>
      </w:pPr>
      <w:r>
        <w:rPr>
          <w:rFonts w:hint="eastAsia" w:ascii="仿宋_GB2312" w:eastAsia="仿宋_GB2312"/>
          <w:color w:val="auto"/>
          <w:sz w:val="32"/>
          <w:szCs w:val="32"/>
        </w:rPr>
        <w:t>　　（1）震情速报。当我区发生地震时，</w:t>
      </w:r>
      <w:r>
        <w:rPr>
          <w:rFonts w:hint="eastAsia" w:ascii="仿宋_GB2312" w:eastAsia="仿宋_GB2312"/>
          <w:b w:val="0"/>
          <w:bCs/>
          <w:color w:val="auto"/>
          <w:sz w:val="32"/>
          <w:szCs w:val="32"/>
        </w:rPr>
        <w:t>区应急管理局立即按照有关规定向区委、区政府、市应急管理局（</w:t>
      </w:r>
      <w:r>
        <w:rPr>
          <w:rFonts w:hint="eastAsia" w:ascii="仿宋_GB2312" w:eastAsia="仿宋_GB2312"/>
          <w:color w:val="auto"/>
          <w:sz w:val="32"/>
          <w:szCs w:val="32"/>
        </w:rPr>
        <w:t>地震局）报告</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通过</w:t>
      </w:r>
      <w:r>
        <w:rPr>
          <w:rFonts w:hint="eastAsia" w:ascii="仿宋_GB2312" w:eastAsia="仿宋_GB2312"/>
          <w:b w:val="0"/>
          <w:bCs/>
          <w:color w:val="auto"/>
          <w:sz w:val="32"/>
          <w:szCs w:val="32"/>
        </w:rPr>
        <w:t>市应急管理局（</w:t>
      </w:r>
      <w:r>
        <w:rPr>
          <w:rFonts w:hint="eastAsia" w:ascii="仿宋_GB2312" w:eastAsia="仿宋_GB2312"/>
          <w:color w:val="auto"/>
          <w:sz w:val="32"/>
          <w:szCs w:val="32"/>
        </w:rPr>
        <w:t>地震局）</w:t>
      </w:r>
      <w:r>
        <w:rPr>
          <w:rFonts w:hint="eastAsia" w:ascii="仿宋_GB2312" w:eastAsia="仿宋_GB2312"/>
          <w:color w:val="auto"/>
          <w:sz w:val="32"/>
          <w:szCs w:val="32"/>
          <w:lang w:val="en-US" w:eastAsia="zh-CN"/>
        </w:rPr>
        <w:t>或相关专业机构确认</w:t>
      </w:r>
      <w:r>
        <w:rPr>
          <w:rFonts w:hint="eastAsia" w:ascii="仿宋_GB2312" w:eastAsia="仿宋_GB2312"/>
          <w:color w:val="auto"/>
          <w:sz w:val="32"/>
          <w:szCs w:val="32"/>
        </w:rPr>
        <w:t>震级。与此同时，</w:t>
      </w:r>
      <w:r>
        <w:rPr>
          <w:rFonts w:hint="eastAsia" w:ascii="仿宋_GB2312" w:eastAsia="仿宋_GB2312"/>
          <w:color w:val="auto"/>
          <w:sz w:val="32"/>
          <w:szCs w:val="32"/>
          <w:lang w:val="en-US" w:eastAsia="zh-CN"/>
        </w:rPr>
        <w:t>并协助市级主管部门</w:t>
      </w:r>
      <w:r>
        <w:rPr>
          <w:rFonts w:hint="eastAsia" w:ascii="仿宋_GB2312" w:eastAsia="仿宋_GB2312"/>
          <w:color w:val="auto"/>
          <w:sz w:val="32"/>
          <w:szCs w:val="32"/>
        </w:rPr>
        <w:t>收集震情资料并进行分析处理，</w:t>
      </w:r>
      <w:r>
        <w:rPr>
          <w:rFonts w:hint="eastAsia" w:ascii="仿宋_GB2312" w:eastAsia="仿宋_GB2312"/>
          <w:color w:val="auto"/>
          <w:sz w:val="32"/>
          <w:szCs w:val="32"/>
          <w:lang w:val="en-US" w:eastAsia="zh-CN"/>
        </w:rPr>
        <w:t>协助</w:t>
      </w:r>
      <w:r>
        <w:rPr>
          <w:rFonts w:hint="eastAsia" w:ascii="仿宋_GB2312" w:eastAsia="仿宋_GB2312"/>
          <w:color w:val="auto"/>
          <w:sz w:val="32"/>
          <w:szCs w:val="32"/>
        </w:rPr>
        <w:t>密切监视震情发展，研判地震发展趋势并提出意见，及时向区委和区政府报告。</w:t>
      </w:r>
    </w:p>
    <w:p>
      <w:pPr>
        <w:spacing w:line="560" w:lineRule="exact"/>
        <w:rPr>
          <w:rFonts w:ascii="仿宋_GB2312" w:eastAsia="仿宋_GB2312"/>
          <w:color w:val="auto"/>
          <w:sz w:val="32"/>
          <w:szCs w:val="32"/>
        </w:rPr>
      </w:pPr>
      <w:r>
        <w:rPr>
          <w:rFonts w:hint="eastAsia" w:ascii="仿宋_GB2312" w:eastAsia="仿宋_GB2312"/>
          <w:color w:val="auto"/>
          <w:sz w:val="32"/>
          <w:szCs w:val="32"/>
        </w:rPr>
        <w:t>　　（2）灾情报告。启动应急响应后，各街道办要及时将灾情报告区抗震救灾指挥部；教育、公安、司法、住房和建设、交通运输、水务、卫生健康、工业和信息化、文化广电旅游体育、市场监管、通信、电力等负有安全监管职能的有关单位要将相关灾情及时报告区抗震救灾指挥部；区应急管理局会同区应急委有关单位迅速开展灾情收集、分析研判工作，并及时报告区抗震救灾指挥部；区委统战部收集</w:t>
      </w:r>
      <w:r>
        <w:rPr>
          <w:rFonts w:hint="eastAsia" w:ascii="仿宋_GB2312" w:eastAsia="仿宋_GB2312"/>
          <w:color w:val="auto"/>
          <w:sz w:val="32"/>
          <w:szCs w:val="32"/>
          <w:lang w:val="en-US" w:eastAsia="zh-CN"/>
        </w:rPr>
        <w:t>在深外国人员及</w:t>
      </w:r>
      <w:r>
        <w:rPr>
          <w:rFonts w:hint="eastAsia" w:ascii="仿宋_GB2312" w:eastAsia="仿宋_GB2312"/>
          <w:color w:val="auto"/>
          <w:sz w:val="32"/>
          <w:szCs w:val="32"/>
        </w:rPr>
        <w:t>港澳台人员因地震伤亡、失踪或被困等情况，向区抗震救灾指挥部报告和按照有关规定及时上级主管部门报告。公安等相关部门负责收集人员伤亡、失踪或被困等情况，向</w:t>
      </w:r>
      <w:r>
        <w:rPr>
          <w:rFonts w:hint="eastAsia" w:ascii="仿宋_GB2312" w:eastAsia="仿宋_GB2312"/>
          <w:color w:val="auto"/>
          <w:sz w:val="32"/>
          <w:szCs w:val="32"/>
          <w:lang w:val="en-US" w:eastAsia="zh-CN"/>
        </w:rPr>
        <w:t>区</w:t>
      </w:r>
      <w:r>
        <w:rPr>
          <w:rFonts w:hint="eastAsia" w:ascii="仿宋_GB2312" w:eastAsia="仿宋_GB2312"/>
          <w:color w:val="auto"/>
          <w:sz w:val="32"/>
          <w:szCs w:val="32"/>
        </w:rPr>
        <w:t>抗震救灾指挥部报告。地震灾情速报内容主要包括：地震影响范围、人员伤亡、建（构）筑物损毁、经济损失及社会影响等。</w:t>
      </w:r>
    </w:p>
    <w:p>
      <w:pPr>
        <w:spacing w:line="560" w:lineRule="exact"/>
        <w:rPr>
          <w:rFonts w:ascii="仿宋_GB2312" w:eastAsia="仿宋_GB2312"/>
          <w:color w:val="auto"/>
          <w:sz w:val="32"/>
          <w:szCs w:val="32"/>
        </w:rPr>
      </w:pPr>
      <w:r>
        <w:rPr>
          <w:rFonts w:hint="eastAsia" w:ascii="仿宋_GB2312" w:eastAsia="仿宋_GB2312"/>
          <w:color w:val="auto"/>
          <w:sz w:val="32"/>
          <w:szCs w:val="32"/>
        </w:rPr>
        <w:t>　　3.2.2 先期处置。</w:t>
      </w:r>
    </w:p>
    <w:p>
      <w:pPr>
        <w:spacing w:line="560" w:lineRule="exact"/>
        <w:rPr>
          <w:rFonts w:ascii="仿宋_GB2312" w:eastAsia="仿宋_GB2312"/>
          <w:color w:val="auto"/>
          <w:sz w:val="32"/>
          <w:szCs w:val="32"/>
        </w:rPr>
      </w:pPr>
      <w:r>
        <w:rPr>
          <w:rFonts w:hint="eastAsia" w:ascii="仿宋_GB2312" w:eastAsia="仿宋_GB2312"/>
          <w:color w:val="auto"/>
          <w:sz w:val="32"/>
          <w:szCs w:val="32"/>
        </w:rPr>
        <w:t>　　各街道、社区要按照</w:t>
      </w:r>
      <w:r>
        <w:rPr>
          <w:rFonts w:hint="eastAsia" w:ascii="仿宋_GB2312" w:eastAsia="仿宋_GB2312"/>
          <w:color w:val="auto"/>
          <w:sz w:val="32"/>
          <w:szCs w:val="32"/>
          <w:lang w:val="en-US" w:eastAsia="zh-CN"/>
        </w:rPr>
        <w:t>区</w:t>
      </w:r>
      <w:r>
        <w:rPr>
          <w:rFonts w:hint="eastAsia" w:ascii="仿宋_GB2312" w:eastAsia="仿宋_GB2312"/>
          <w:color w:val="auto"/>
          <w:sz w:val="32"/>
          <w:szCs w:val="32"/>
        </w:rPr>
        <w:t>级抗震救灾指挥部的安排部署，组织实施本</w:t>
      </w:r>
      <w:r>
        <w:rPr>
          <w:rFonts w:hint="eastAsia" w:ascii="仿宋_GB2312" w:eastAsia="仿宋_GB2312"/>
          <w:color w:val="auto"/>
          <w:sz w:val="32"/>
          <w:szCs w:val="32"/>
          <w:lang w:val="en-US" w:eastAsia="zh-CN"/>
        </w:rPr>
        <w:t>辖</w:t>
      </w:r>
      <w:r>
        <w:rPr>
          <w:rFonts w:hint="eastAsia" w:ascii="仿宋_GB2312" w:eastAsia="仿宋_GB2312"/>
          <w:color w:val="auto"/>
          <w:sz w:val="32"/>
          <w:szCs w:val="32"/>
        </w:rPr>
        <w:t>抗震救灾工作。立即发动基层干部群众开展自救互救，组织抗震抢险救灾队伍，进行人员搜救和医疗救护；开放应急避难场所，及时转移、安置受灾群众；防范次生灾害，维护社会治安。必要时提出援助请求。</w:t>
      </w:r>
    </w:p>
    <w:p>
      <w:pPr>
        <w:spacing w:line="560" w:lineRule="exact"/>
        <w:rPr>
          <w:rFonts w:ascii="仿宋_GB2312" w:eastAsia="仿宋_GB2312"/>
          <w:color w:val="auto"/>
          <w:sz w:val="32"/>
          <w:szCs w:val="32"/>
        </w:rPr>
      </w:pPr>
      <w:r>
        <w:rPr>
          <w:rFonts w:hint="eastAsia" w:ascii="仿宋_GB2312" w:eastAsia="仿宋_GB2312"/>
          <w:color w:val="auto"/>
          <w:sz w:val="32"/>
          <w:szCs w:val="32"/>
        </w:rPr>
        <w:t>　　3.2.3 震区监测。</w:t>
      </w:r>
    </w:p>
    <w:p>
      <w:pPr>
        <w:spacing w:line="560" w:lineRule="exact"/>
        <w:rPr>
          <w:rFonts w:ascii="仿宋_GB2312" w:eastAsia="仿宋_GB2312"/>
          <w:color w:val="auto"/>
          <w:sz w:val="32"/>
          <w:szCs w:val="32"/>
        </w:rPr>
      </w:pPr>
      <w:r>
        <w:rPr>
          <w:rFonts w:hint="eastAsia" w:ascii="仿宋_GB2312" w:eastAsia="仿宋_GB2312"/>
          <w:color w:val="auto"/>
          <w:sz w:val="32"/>
          <w:szCs w:val="32"/>
        </w:rPr>
        <w:t>　　根据地震应急工作需要，区应急管理局协助市应急管理局（地震局）加密震区监测网和增强震区的监测能力，在震区开展地震现场监测与数据分析、研判，</w:t>
      </w:r>
      <w:r>
        <w:rPr>
          <w:rFonts w:hint="eastAsia" w:ascii="仿宋_GB2312" w:eastAsia="仿宋_GB2312"/>
          <w:color w:val="auto"/>
          <w:sz w:val="32"/>
          <w:szCs w:val="32"/>
          <w:lang w:val="en-US" w:eastAsia="zh-CN"/>
        </w:rPr>
        <w:t>与市气象局加强沟通联系、关注辖区重大天气变化，</w:t>
      </w:r>
      <w:r>
        <w:rPr>
          <w:rFonts w:hint="eastAsia" w:ascii="仿宋_GB2312" w:eastAsia="仿宋_GB2312"/>
          <w:color w:val="auto"/>
          <w:sz w:val="32"/>
          <w:szCs w:val="32"/>
        </w:rPr>
        <w:t>并安排专业力量加强空气、水源、土壤污染监测，减轻或消除污染危害。</w:t>
      </w:r>
    </w:p>
    <w:p>
      <w:pPr>
        <w:spacing w:line="560" w:lineRule="exact"/>
        <w:rPr>
          <w:rFonts w:ascii="仿宋_GB2312" w:eastAsia="仿宋_GB2312"/>
          <w:color w:val="auto"/>
          <w:sz w:val="32"/>
          <w:szCs w:val="32"/>
        </w:rPr>
      </w:pPr>
      <w:r>
        <w:rPr>
          <w:rFonts w:hint="eastAsia" w:ascii="仿宋_GB2312" w:eastAsia="仿宋_GB2312"/>
          <w:color w:val="auto"/>
          <w:sz w:val="32"/>
          <w:szCs w:val="32"/>
        </w:rPr>
        <w:t>　　3.2.4 响应启动。</w:t>
      </w:r>
    </w:p>
    <w:p>
      <w:pPr>
        <w:spacing w:line="560" w:lineRule="exact"/>
        <w:rPr>
          <w:rFonts w:ascii="仿宋_GB2312" w:eastAsia="仿宋_GB2312"/>
          <w:color w:val="auto"/>
          <w:sz w:val="32"/>
          <w:szCs w:val="32"/>
        </w:rPr>
      </w:pPr>
      <w:r>
        <w:rPr>
          <w:rFonts w:hint="eastAsia" w:ascii="仿宋_GB2312" w:eastAsia="仿宋_GB2312"/>
          <w:color w:val="auto"/>
          <w:sz w:val="32"/>
          <w:szCs w:val="32"/>
        </w:rPr>
        <w:t>　　按照地震灾害影响范围、严重程度等，地震灾害应急响应分为Ⅰ级、Ⅱ级、Ⅲ级和Ⅳ级四个等级。</w:t>
      </w:r>
    </w:p>
    <w:p>
      <w:pPr>
        <w:spacing w:line="560" w:lineRule="exact"/>
        <w:rPr>
          <w:rFonts w:ascii="仿宋_GB2312" w:eastAsia="仿宋_GB2312"/>
          <w:color w:val="auto"/>
          <w:sz w:val="32"/>
          <w:szCs w:val="32"/>
        </w:rPr>
      </w:pPr>
      <w:r>
        <w:rPr>
          <w:rFonts w:hint="eastAsia" w:ascii="仿宋_GB2312" w:eastAsia="仿宋_GB2312"/>
          <w:color w:val="auto"/>
          <w:sz w:val="32"/>
          <w:szCs w:val="32"/>
        </w:rPr>
        <w:t>　　（1）Ⅰ级、Ⅱ级</w:t>
      </w:r>
      <w:r>
        <w:rPr>
          <w:rFonts w:hint="eastAsia" w:ascii="仿宋_GB2312" w:eastAsia="仿宋_GB2312"/>
          <w:color w:val="auto"/>
          <w:sz w:val="32"/>
          <w:szCs w:val="32"/>
          <w:lang w:eastAsia="zh-CN"/>
        </w:rPr>
        <w:t>、</w:t>
      </w:r>
      <w:r>
        <w:rPr>
          <w:rFonts w:hint="eastAsia" w:ascii="仿宋_GB2312" w:eastAsia="仿宋_GB2312"/>
          <w:color w:val="auto"/>
          <w:sz w:val="32"/>
          <w:szCs w:val="32"/>
        </w:rPr>
        <w:t>Ⅲ级响应。发生特别重大和重大地震灾害</w:t>
      </w:r>
      <w:r>
        <w:rPr>
          <w:rFonts w:hint="eastAsia" w:ascii="仿宋_GB2312" w:eastAsia="仿宋_GB2312"/>
          <w:color w:val="auto"/>
          <w:sz w:val="32"/>
          <w:szCs w:val="32"/>
          <w:lang w:eastAsia="zh-CN"/>
        </w:rPr>
        <w:t>、</w:t>
      </w:r>
      <w:r>
        <w:rPr>
          <w:rFonts w:hint="eastAsia" w:ascii="仿宋_GB2312" w:eastAsia="仿宋_GB2312"/>
          <w:color w:val="auto"/>
          <w:sz w:val="32"/>
          <w:szCs w:val="32"/>
        </w:rPr>
        <w:t>较大地震灾害，接到国务院、省人民政府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市人民政府</w:t>
      </w:r>
      <w:r>
        <w:rPr>
          <w:rFonts w:hint="eastAsia" w:ascii="仿宋_GB2312" w:eastAsia="仿宋_GB2312"/>
          <w:color w:val="auto"/>
          <w:sz w:val="32"/>
          <w:szCs w:val="32"/>
        </w:rPr>
        <w:t>分别启动Ⅰ级、Ⅱ级</w:t>
      </w:r>
      <w:r>
        <w:rPr>
          <w:rFonts w:hint="eastAsia" w:ascii="仿宋_GB2312" w:eastAsia="仿宋_GB2312"/>
          <w:color w:val="auto"/>
          <w:sz w:val="32"/>
          <w:szCs w:val="32"/>
          <w:lang w:eastAsia="zh-CN"/>
        </w:rPr>
        <w:t>、</w:t>
      </w:r>
      <w:r>
        <w:rPr>
          <w:rFonts w:hint="eastAsia" w:ascii="仿宋_GB2312" w:eastAsia="仿宋_GB2312"/>
          <w:color w:val="auto"/>
          <w:sz w:val="32"/>
          <w:szCs w:val="32"/>
        </w:rPr>
        <w:t>Ⅲ级响应，省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政府向各有关单位发布启动应急程序的命令。之后，区抗震救灾指挥部在国务院、省、市指挥部的统一领导、协调、指挥下，做好抗震救灾工作。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2）Ⅳ级响应。发生一般地震灾害，区抗震救灾指挥部立即组织各单位成员和专家分析研判，对地震灾害影响及其发展趋势进行综合评估。由区抗震救灾指挥部报请区政府决定启动Ⅳ级应急响应，向各有关单位发布启动相关应急程序的命令。必要时，区抗震救灾指挥部经区人民政府同意，报请市抗震救灾指挥部支援。</w:t>
      </w:r>
    </w:p>
    <w:p>
      <w:pPr>
        <w:spacing w:line="560" w:lineRule="exact"/>
        <w:ind w:firstLine="638"/>
        <w:rPr>
          <w:rFonts w:ascii="仿宋_GB2312" w:eastAsia="仿宋_GB2312"/>
          <w:color w:val="auto"/>
          <w:sz w:val="32"/>
          <w:szCs w:val="32"/>
        </w:rPr>
      </w:pPr>
      <w:r>
        <w:rPr>
          <w:rFonts w:hint="eastAsia" w:ascii="仿宋_GB2312" w:eastAsia="仿宋_GB2312"/>
          <w:color w:val="auto"/>
          <w:sz w:val="32"/>
          <w:szCs w:val="32"/>
        </w:rPr>
        <w:t>3.2.5指挥协调</w:t>
      </w:r>
    </w:p>
    <w:p>
      <w:pPr>
        <w:spacing w:line="579"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政府在市抗震救灾指挥部的指挥或指导下，根据辖区地震应急预案，全面开展应急救援工作，并及时向市委、市政府和市抗震救援指挥部报告相关情况；组织区有关单位做好人力、物资、装备、技术等应急保障工作，并提供应急救援队伍；制订并组织实施地震灾害应急救援方案，具体承担受灾群众安全撤离及安置等工作；协调建立现场警戒区和交通管制区域，确定重点防护区域，维持现场秩序，维护当地社会稳定；采取其它应急处置措施。</w:t>
      </w:r>
    </w:p>
    <w:p>
      <w:pPr>
        <w:spacing w:line="579"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（3）区抗震救灾指挥部其它相关成员单位</w:t>
      </w:r>
      <w:r>
        <w:rPr>
          <w:rFonts w:hint="eastAsia" w:ascii="仿宋_GB2312" w:eastAsia="仿宋_GB2312"/>
          <w:color w:val="auto"/>
          <w:sz w:val="32"/>
          <w:szCs w:val="32"/>
          <w:lang w:val="en-US" w:eastAsia="zh-CN"/>
        </w:rPr>
        <w:t>及街道</w:t>
      </w:r>
      <w:r>
        <w:rPr>
          <w:rFonts w:hint="eastAsia" w:ascii="仿宋_GB2312" w:eastAsia="仿宋_GB2312"/>
          <w:color w:val="auto"/>
          <w:sz w:val="32"/>
          <w:szCs w:val="32"/>
        </w:rPr>
        <w:t>按照各自职责，在现场指挥部的具体指挥下，开展应急救援和现场处置等工作，并及时向区抗震救灾指挥部报告情况。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3.2.</w:t>
      </w:r>
      <w:r>
        <w:rPr>
          <w:rFonts w:ascii="仿宋_GB2312" w:eastAsia="仿宋_GB2312"/>
          <w:color w:val="auto"/>
          <w:sz w:val="32"/>
          <w:szCs w:val="32"/>
        </w:rPr>
        <w:t>6</w:t>
      </w:r>
      <w:r>
        <w:rPr>
          <w:rFonts w:hint="eastAsia" w:ascii="仿宋_GB2312" w:eastAsia="仿宋_GB2312"/>
          <w:color w:val="auto"/>
          <w:sz w:val="32"/>
          <w:szCs w:val="32"/>
        </w:rPr>
        <w:t>现场处置</w:t>
      </w:r>
    </w:p>
    <w:p>
      <w:pPr>
        <w:spacing w:line="560" w:lineRule="exact"/>
        <w:rPr>
          <w:rFonts w:ascii="仿宋_GB2312" w:eastAsia="仿宋_GB2312"/>
          <w:color w:val="auto"/>
          <w:sz w:val="32"/>
          <w:szCs w:val="32"/>
        </w:rPr>
      </w:pPr>
      <w:r>
        <w:rPr>
          <w:rFonts w:hint="eastAsia" w:ascii="仿宋_GB2312" w:eastAsia="仿宋_GB2312"/>
          <w:color w:val="auto"/>
          <w:sz w:val="32"/>
          <w:szCs w:val="32"/>
        </w:rPr>
        <w:t>　　启动地震灾害Ⅳ级以上响应后，区成立抗震救灾现场指挥部，现场指挥部在区抗震救灾指挥部的领导下，组织、协调、指挥全区的地震应急现场处置工作。各街道相应成立现场指挥部，在区抗震救灾指挥部的领导下，在</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抗震救灾现场指挥部组织、协调、指导下，组织指挥本</w:t>
      </w:r>
      <w:r>
        <w:rPr>
          <w:rFonts w:hint="eastAsia" w:ascii="仿宋_GB2312" w:eastAsia="仿宋_GB2312"/>
          <w:color w:val="auto"/>
          <w:sz w:val="32"/>
          <w:szCs w:val="32"/>
          <w:lang w:val="en-US" w:eastAsia="zh-CN"/>
        </w:rPr>
        <w:t>辖区</w:t>
      </w:r>
      <w:r>
        <w:rPr>
          <w:rFonts w:hint="eastAsia" w:ascii="仿宋_GB2312" w:eastAsia="仿宋_GB2312"/>
          <w:color w:val="auto"/>
          <w:sz w:val="32"/>
          <w:szCs w:val="32"/>
        </w:rPr>
        <w:t>地震应急现场处置工作。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现场指挥部实行现场指挥官制度，现场指挥官有权组织决定现场处置方案、指挥调度应急救援队伍和应急资源。区地震应急现场指挥官分别由区应急管理局主要领导或指定的其他领导担任；现场副指挥官由区委宣传部分管新闻中心领导和区应急管理局分管地震工作负责人担任。</w:t>
      </w:r>
    </w:p>
    <w:p>
      <w:pPr>
        <w:spacing w:line="560" w:lineRule="exact"/>
        <w:rPr>
          <w:rFonts w:ascii="仿宋_GB2312" w:eastAsia="仿宋_GB2312"/>
          <w:color w:val="auto"/>
          <w:sz w:val="32"/>
          <w:szCs w:val="32"/>
        </w:rPr>
      </w:pPr>
      <w:r>
        <w:rPr>
          <w:rFonts w:hint="eastAsia" w:ascii="仿宋_GB2312" w:eastAsia="仿宋_GB2312"/>
          <w:color w:val="auto"/>
          <w:sz w:val="32"/>
          <w:szCs w:val="32"/>
        </w:rPr>
        <w:t>　　现场处置内容包括：组织营救、伤员救治、疏散撤离和妥善安置受灾人员；及时掌握和报告灾情和人员伤亡情况；协调各级各类救援队伍的行动，分配救援任务；查明并及时组织力量消除次生、衍生灾害；组织抢修公共设施；接收与分配援助物资等现场处置工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3.2.6 社会动员。</w:t>
      </w:r>
    </w:p>
    <w:p>
      <w:pPr>
        <w:spacing w:line="560" w:lineRule="exact"/>
        <w:rPr>
          <w:rFonts w:ascii="仿宋_GB2312" w:eastAsia="仿宋_GB2312"/>
          <w:color w:val="auto"/>
          <w:sz w:val="32"/>
          <w:szCs w:val="32"/>
        </w:rPr>
      </w:pPr>
      <w:r>
        <w:rPr>
          <w:rFonts w:hint="eastAsia" w:ascii="仿宋_GB2312" w:eastAsia="仿宋_GB2312"/>
          <w:color w:val="auto"/>
          <w:sz w:val="32"/>
          <w:szCs w:val="32"/>
        </w:rPr>
        <w:t>　　现场指挥部可根据地震灾害的危害程度和范围，调动社会力量参与地震灾害处置，紧急情况下可依法征用、调用车辆、物资、人员等。</w:t>
      </w:r>
    </w:p>
    <w:p>
      <w:pPr>
        <w:spacing w:line="560" w:lineRule="exact"/>
        <w:rPr>
          <w:rFonts w:ascii="仿宋_GB2312" w:eastAsia="仿宋_GB2312"/>
          <w:color w:val="auto"/>
          <w:sz w:val="32"/>
          <w:szCs w:val="32"/>
        </w:rPr>
      </w:pPr>
      <w:r>
        <w:rPr>
          <w:rFonts w:hint="eastAsia" w:ascii="仿宋_GB2312" w:eastAsia="仿宋_GB2312"/>
          <w:color w:val="auto"/>
          <w:sz w:val="32"/>
          <w:szCs w:val="32"/>
        </w:rPr>
        <w:t>　　鼓励公民、法人和其他组织按照《中华人民共和国公益事业捐赠法》等有关法律法规的规定进行捐赠和援助。审计部门对捐赠资金与物资的使用情况依照法律法规规章规定的职责、权限和程序进行审计，监察部门对捐赠资金与物资的使用情况进行监督。</w:t>
      </w:r>
    </w:p>
    <w:p>
      <w:pPr>
        <w:spacing w:line="560" w:lineRule="exact"/>
        <w:rPr>
          <w:rFonts w:ascii="仿宋_GB2312" w:eastAsia="仿宋_GB2312"/>
          <w:color w:val="auto"/>
          <w:sz w:val="32"/>
          <w:szCs w:val="32"/>
        </w:rPr>
      </w:pPr>
      <w:r>
        <w:rPr>
          <w:rFonts w:hint="eastAsia" w:ascii="仿宋_GB2312" w:eastAsia="仿宋_GB2312"/>
          <w:color w:val="auto"/>
          <w:sz w:val="32"/>
          <w:szCs w:val="32"/>
        </w:rPr>
        <w:t>　　3.2.7区域合作。</w:t>
      </w:r>
    </w:p>
    <w:p>
      <w:pPr>
        <w:spacing w:line="560" w:lineRule="exact"/>
        <w:rPr>
          <w:rFonts w:ascii="仿宋_GB2312" w:eastAsia="仿宋_GB2312"/>
          <w:color w:val="auto"/>
          <w:sz w:val="32"/>
          <w:szCs w:val="32"/>
        </w:rPr>
      </w:pPr>
      <w:r>
        <w:rPr>
          <w:rFonts w:hint="eastAsia" w:ascii="仿宋_GB2312" w:eastAsia="仿宋_GB2312"/>
          <w:color w:val="auto"/>
          <w:sz w:val="32"/>
          <w:szCs w:val="32"/>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区应急管理局</w:t>
      </w:r>
      <w:r>
        <w:rPr>
          <w:rFonts w:hint="eastAsia" w:ascii="仿宋_GB2312" w:eastAsia="仿宋_GB2312"/>
          <w:color w:val="auto"/>
          <w:sz w:val="32"/>
          <w:szCs w:val="32"/>
          <w:lang w:val="en-US" w:eastAsia="zh-CN"/>
        </w:rPr>
        <w:t>在市应急管理局指导下，</w:t>
      </w:r>
      <w:r>
        <w:rPr>
          <w:rFonts w:hint="eastAsia" w:ascii="仿宋_GB2312" w:eastAsia="仿宋_GB2312"/>
          <w:color w:val="auto"/>
          <w:sz w:val="32"/>
          <w:szCs w:val="32"/>
        </w:rPr>
        <w:t>加强与</w:t>
      </w:r>
      <w:r>
        <w:rPr>
          <w:rFonts w:hint="eastAsia" w:ascii="仿宋_GB2312" w:eastAsia="仿宋_GB2312"/>
          <w:color w:val="auto"/>
          <w:sz w:val="32"/>
          <w:szCs w:val="32"/>
          <w:lang w:val="en-US" w:eastAsia="zh-CN"/>
        </w:rPr>
        <w:t>相关</w:t>
      </w:r>
      <w:r>
        <w:rPr>
          <w:rFonts w:hint="eastAsia" w:ascii="仿宋_GB2312" w:eastAsia="仿宋_GB2312"/>
          <w:color w:val="auto"/>
          <w:sz w:val="32"/>
          <w:szCs w:val="32"/>
        </w:rPr>
        <w:t>国内外抗震救灾机构的交流合作，建立区域合作机制，积极开展抗震救灾区域合作与交流。</w:t>
      </w:r>
    </w:p>
    <w:p>
      <w:pPr>
        <w:spacing w:line="560" w:lineRule="exact"/>
        <w:rPr>
          <w:rFonts w:ascii="仿宋_GB2312" w:eastAsia="仿宋_GB2312"/>
          <w:color w:val="auto"/>
          <w:sz w:val="32"/>
          <w:szCs w:val="32"/>
        </w:rPr>
      </w:pPr>
      <w:r>
        <w:rPr>
          <w:rFonts w:hint="eastAsia" w:ascii="仿宋_GB2312" w:eastAsia="仿宋_GB2312"/>
          <w:color w:val="auto"/>
          <w:sz w:val="32"/>
          <w:szCs w:val="32"/>
        </w:rPr>
        <w:t>　　3.2.8应急终止。</w:t>
      </w:r>
    </w:p>
    <w:p>
      <w:pPr>
        <w:spacing w:line="560" w:lineRule="exact"/>
        <w:rPr>
          <w:rFonts w:ascii="仿宋_GB2312" w:eastAsia="仿宋_GB2312"/>
          <w:color w:val="auto"/>
          <w:sz w:val="32"/>
          <w:szCs w:val="32"/>
        </w:rPr>
      </w:pPr>
      <w:r>
        <w:rPr>
          <w:rFonts w:hint="eastAsia" w:ascii="仿宋_GB2312" w:eastAsia="仿宋_GB2312"/>
          <w:color w:val="auto"/>
          <w:sz w:val="32"/>
          <w:szCs w:val="32"/>
        </w:rPr>
        <w:t>　　接到上级政府终止Ⅰ级、Ⅱ级、Ⅲ级应急响应的命令之后，区政府发布在本区范围内终止应急响应的命令。</w:t>
      </w:r>
    </w:p>
    <w:p>
      <w:pPr>
        <w:spacing w:line="560" w:lineRule="exact"/>
        <w:rPr>
          <w:rFonts w:ascii="仿宋_GB2312" w:eastAsia="仿宋_GB2312"/>
          <w:color w:val="auto"/>
          <w:sz w:val="32"/>
          <w:szCs w:val="32"/>
        </w:rPr>
      </w:pPr>
      <w:r>
        <w:rPr>
          <w:rFonts w:hint="eastAsia" w:ascii="仿宋_GB2312" w:eastAsia="仿宋_GB2312"/>
          <w:color w:val="auto"/>
          <w:sz w:val="32"/>
          <w:szCs w:val="32"/>
        </w:rPr>
        <w:t>　　发布了Ⅳ级应急响应的一般地震灾害得到有效处置后，经评估，短期内灾害影响不再扩大或已减轻，近期无发生较大地震的可能，由区政府宣布终止应急响应。</w:t>
      </w:r>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13" w:name="_Toc25367"/>
      <w:r>
        <w:rPr>
          <w:rFonts w:hint="eastAsia" w:ascii="仿宋_GB2312" w:eastAsia="仿宋_GB2312"/>
          <w:b w:val="0"/>
          <w:color w:val="auto"/>
          <w:sz w:val="32"/>
          <w:szCs w:val="32"/>
        </w:rPr>
        <w:t>3.3 恢复重建</w:t>
      </w:r>
      <w:bookmarkEnd w:id="13"/>
    </w:p>
    <w:p>
      <w:pPr>
        <w:spacing w:line="560" w:lineRule="exact"/>
        <w:rPr>
          <w:rFonts w:ascii="仿宋_GB2312" w:eastAsia="仿宋_GB2312"/>
          <w:color w:val="auto"/>
          <w:sz w:val="32"/>
          <w:szCs w:val="32"/>
        </w:rPr>
      </w:pPr>
      <w:r>
        <w:rPr>
          <w:rFonts w:hint="eastAsia" w:ascii="仿宋_GB2312" w:eastAsia="仿宋_GB2312"/>
          <w:color w:val="auto"/>
          <w:sz w:val="32"/>
          <w:szCs w:val="32"/>
        </w:rPr>
        <w:t>　　3.3.1 制订规划。</w:t>
      </w:r>
    </w:p>
    <w:p>
      <w:pPr>
        <w:spacing w:line="560" w:lineRule="exact"/>
        <w:rPr>
          <w:rFonts w:ascii="仿宋_GB2312" w:eastAsia="仿宋_GB2312"/>
          <w:color w:val="auto"/>
          <w:sz w:val="32"/>
          <w:szCs w:val="32"/>
        </w:rPr>
      </w:pPr>
      <w:r>
        <w:rPr>
          <w:rFonts w:hint="eastAsia" w:ascii="仿宋_GB2312" w:eastAsia="仿宋_GB2312"/>
          <w:color w:val="auto"/>
          <w:sz w:val="32"/>
          <w:szCs w:val="32"/>
        </w:rPr>
        <w:t>　　较大以上地震灾害应急处置结束以后，根据上级政府的统一安排编制本区的恢复重建规划。一般地震灾害应急处置结束以后，参照国家和省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的做法，根据实际需要组织编制灾后恢复重建规划。</w:t>
      </w:r>
    </w:p>
    <w:p>
      <w:pPr>
        <w:spacing w:line="560" w:lineRule="exact"/>
        <w:rPr>
          <w:rFonts w:ascii="仿宋_GB2312" w:eastAsia="仿宋_GB2312"/>
          <w:color w:val="auto"/>
          <w:sz w:val="32"/>
          <w:szCs w:val="32"/>
        </w:rPr>
      </w:pPr>
      <w:r>
        <w:rPr>
          <w:rFonts w:hint="eastAsia" w:ascii="仿宋_GB2312" w:eastAsia="仿宋_GB2312"/>
          <w:color w:val="auto"/>
          <w:sz w:val="32"/>
          <w:szCs w:val="32"/>
        </w:rPr>
        <w:t>　　3.3.2调查评估。</w:t>
      </w:r>
    </w:p>
    <w:p>
      <w:pPr>
        <w:spacing w:line="560" w:lineRule="exact"/>
        <w:rPr>
          <w:rFonts w:ascii="仿宋_GB2312" w:eastAsia="仿宋_GB2312"/>
          <w:color w:val="auto"/>
          <w:sz w:val="32"/>
          <w:szCs w:val="32"/>
        </w:rPr>
      </w:pPr>
      <w:r>
        <w:rPr>
          <w:rFonts w:hint="eastAsia" w:ascii="仿宋_GB2312" w:eastAsia="仿宋_GB2312"/>
          <w:color w:val="auto"/>
          <w:sz w:val="32"/>
          <w:szCs w:val="32"/>
        </w:rPr>
        <w:t>　　区应急管理局参与省、市地震局组织开展的地震灾害调查评估工作，主要内容包括：地震烈度、发震构造、地震宏观异常现象、工程结构震害特征、地震社会影响和各种地震地质灾害调查，组织专家开展灾害损失评估等。区应急管理局会同区住房和建设局、市自然资源局龙岗管理局、市生态环境局龙岗管理局、区水务局、</w:t>
      </w:r>
      <w:r>
        <w:rPr>
          <w:rFonts w:hint="eastAsia" w:ascii="仿宋_GB2312" w:eastAsia="仿宋_GB2312"/>
          <w:color w:val="auto"/>
          <w:sz w:val="32"/>
          <w:szCs w:val="32"/>
          <w:lang w:val="en-US" w:eastAsia="zh-CN"/>
        </w:rPr>
        <w:t>区民政局、</w:t>
      </w:r>
      <w:r>
        <w:rPr>
          <w:rFonts w:hint="eastAsia" w:ascii="仿宋_GB2312" w:eastAsia="仿宋_GB2312"/>
          <w:color w:val="auto"/>
          <w:sz w:val="32"/>
          <w:szCs w:val="32"/>
        </w:rPr>
        <w:t>市交通运输局龙岗管理局</w:t>
      </w:r>
      <w:r>
        <w:rPr>
          <w:rFonts w:hint="eastAsia" w:ascii="仿宋_GB2312" w:eastAsia="仿宋_GB2312"/>
          <w:color w:val="auto"/>
          <w:sz w:val="32"/>
          <w:szCs w:val="32"/>
          <w:lang w:eastAsia="zh-CN"/>
        </w:rPr>
        <w:t>、</w:t>
      </w:r>
      <w:r>
        <w:rPr>
          <w:rFonts w:hint="eastAsia" w:ascii="仿宋_GB2312" w:eastAsia="仿宋_GB2312"/>
          <w:color w:val="auto"/>
          <w:sz w:val="32"/>
          <w:szCs w:val="32"/>
        </w:rPr>
        <w:t>等有关部门组织开展灾区范围、受灾人口、人员伤亡数量、建（构）筑物和基础设施破坏程度、环境影响程度等调查。</w:t>
      </w:r>
    </w:p>
    <w:p>
      <w:pPr>
        <w:spacing w:line="560" w:lineRule="exact"/>
        <w:rPr>
          <w:rFonts w:ascii="仿宋_GB2312" w:eastAsia="仿宋_GB2312"/>
          <w:color w:val="auto"/>
          <w:sz w:val="32"/>
          <w:szCs w:val="32"/>
        </w:rPr>
      </w:pPr>
      <w:r>
        <w:rPr>
          <w:rFonts w:hint="eastAsia" w:ascii="仿宋_GB2312" w:eastAsia="仿宋_GB2312"/>
          <w:color w:val="auto"/>
          <w:sz w:val="32"/>
          <w:szCs w:val="32"/>
        </w:rPr>
        <w:t>　　3.3.3 征用补偿。</w:t>
      </w:r>
    </w:p>
    <w:p>
      <w:pPr>
        <w:spacing w:line="560" w:lineRule="exact"/>
        <w:rPr>
          <w:rFonts w:ascii="仿宋_GB2312" w:eastAsia="仿宋_GB2312"/>
          <w:color w:val="auto"/>
          <w:sz w:val="32"/>
          <w:szCs w:val="32"/>
        </w:rPr>
      </w:pPr>
      <w:r>
        <w:rPr>
          <w:rFonts w:hint="eastAsia" w:ascii="仿宋_GB2312" w:eastAsia="仿宋_GB2312"/>
          <w:color w:val="auto"/>
          <w:sz w:val="32"/>
          <w:szCs w:val="32"/>
        </w:rPr>
        <w:t>　　地震灾害应急处置工作结束后，</w:t>
      </w:r>
      <w:r>
        <w:rPr>
          <w:rFonts w:hint="eastAsia" w:ascii="仿宋_GB2312" w:eastAsia="仿宋_GB2312"/>
          <w:color w:val="auto"/>
          <w:sz w:val="32"/>
          <w:szCs w:val="32"/>
          <w:lang w:val="en-US" w:eastAsia="zh-CN"/>
        </w:rPr>
        <w:t>征用部门</w:t>
      </w:r>
      <w:r>
        <w:rPr>
          <w:rFonts w:hint="eastAsia" w:ascii="仿宋_GB2312" w:eastAsia="仿宋_GB2312"/>
          <w:color w:val="auto"/>
          <w:sz w:val="32"/>
          <w:szCs w:val="32"/>
        </w:rPr>
        <w:t>要按照《广东省突发事件应对条例》有关规定及时返还被征用的物资和装备；造成毁损、灭失的，要按照国家和省政府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市政府</w:t>
      </w:r>
      <w:r>
        <w:rPr>
          <w:rFonts w:hint="eastAsia" w:ascii="仿宋_GB2312" w:eastAsia="仿宋_GB2312"/>
          <w:color w:val="auto"/>
          <w:sz w:val="32"/>
          <w:szCs w:val="32"/>
        </w:rPr>
        <w:t>有关规定给予补偿。</w:t>
      </w:r>
    </w:p>
    <w:p>
      <w:pPr>
        <w:spacing w:line="560" w:lineRule="exact"/>
        <w:rPr>
          <w:rFonts w:ascii="仿宋_GB2312" w:eastAsia="仿宋_GB2312"/>
          <w:color w:val="auto"/>
          <w:sz w:val="32"/>
          <w:szCs w:val="32"/>
        </w:rPr>
      </w:pPr>
      <w:r>
        <w:rPr>
          <w:rFonts w:hint="eastAsia" w:ascii="仿宋_GB2312" w:eastAsia="仿宋_GB2312"/>
          <w:color w:val="auto"/>
          <w:sz w:val="32"/>
          <w:szCs w:val="32"/>
        </w:rPr>
        <w:t>　　3.3.4灾害保险。</w:t>
      </w:r>
    </w:p>
    <w:p>
      <w:pPr>
        <w:spacing w:line="560" w:lineRule="exact"/>
        <w:rPr>
          <w:rFonts w:ascii="仿宋_GB2312" w:eastAsia="仿宋_GB2312"/>
          <w:color w:val="auto"/>
          <w:sz w:val="32"/>
          <w:szCs w:val="32"/>
        </w:rPr>
      </w:pPr>
      <w:r>
        <w:rPr>
          <w:rFonts w:hint="eastAsia" w:ascii="仿宋_GB2312" w:eastAsia="仿宋_GB2312"/>
          <w:color w:val="auto"/>
          <w:sz w:val="32"/>
          <w:szCs w:val="32"/>
        </w:rPr>
        <w:t>　　鼓励商业保险公司开办地震灾害保险，鼓励公众积极参加地震灾害商业保险和参加互助保险，不断完善公众地震灾害补偿保障机制。保险机构要根据灾情主动办理受灾人员和财产的保险理赔事项。各相关单位要为保险理赔工作提供便利。</w:t>
      </w:r>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bookmarkStart w:id="14" w:name="_Toc9586"/>
      <w:r>
        <w:rPr>
          <w:rFonts w:hint="eastAsia" w:ascii="仿宋_GB2312" w:eastAsia="仿宋_GB2312"/>
          <w:b w:val="0"/>
          <w:color w:val="auto"/>
          <w:sz w:val="32"/>
          <w:szCs w:val="32"/>
        </w:rPr>
        <w:t>3.4信息发布</w:t>
      </w:r>
      <w:bookmarkEnd w:id="14"/>
    </w:p>
    <w:p>
      <w:pPr>
        <w:spacing w:line="560" w:lineRule="exact"/>
        <w:rPr>
          <w:rFonts w:ascii="仿宋_GB2312" w:eastAsia="仿宋_GB2312"/>
          <w:color w:val="auto"/>
          <w:sz w:val="32"/>
          <w:szCs w:val="32"/>
        </w:rPr>
      </w:pPr>
      <w:r>
        <w:rPr>
          <w:rFonts w:hint="eastAsia" w:ascii="仿宋_GB2312" w:eastAsia="仿宋_GB2312"/>
          <w:color w:val="auto"/>
          <w:sz w:val="32"/>
          <w:szCs w:val="32"/>
        </w:rPr>
        <w:t>　　区和各街道抗震救灾指挥部按照分级响应原则分别做好相应级别地震灾害信息发布相关工作。地震灾害信息发布要及时、准确、客观、统一。</w:t>
      </w:r>
    </w:p>
    <w:p>
      <w:pPr>
        <w:pStyle w:val="3"/>
        <w:spacing w:before="0" w:beforeAutospacing="0" w:after="0" w:afterAutospacing="0" w:line="560" w:lineRule="exact"/>
        <w:ind w:firstLine="640" w:firstLineChars="200"/>
        <w:rPr>
          <w:rFonts w:ascii="仿宋_GB2312" w:eastAsia="仿宋_GB2312"/>
          <w:b w:val="0"/>
          <w:color w:val="auto"/>
          <w:sz w:val="32"/>
          <w:szCs w:val="32"/>
        </w:rPr>
      </w:pPr>
      <w:bookmarkStart w:id="15" w:name="_Toc12734"/>
      <w:r>
        <w:rPr>
          <w:rFonts w:ascii="仿宋_GB2312" w:eastAsia="仿宋_GB2312"/>
          <w:b w:val="0"/>
          <w:color w:val="auto"/>
          <w:sz w:val="32"/>
          <w:szCs w:val="32"/>
        </w:rPr>
        <w:t>3</w:t>
      </w:r>
      <w:r>
        <w:rPr>
          <w:rFonts w:hint="eastAsia" w:ascii="仿宋_GB2312" w:eastAsia="仿宋_GB2312"/>
          <w:b w:val="0"/>
          <w:color w:val="auto"/>
          <w:sz w:val="32"/>
          <w:szCs w:val="32"/>
        </w:rPr>
        <w:t>.</w:t>
      </w:r>
      <w:r>
        <w:rPr>
          <w:rFonts w:ascii="仿宋_GB2312" w:eastAsia="仿宋_GB2312"/>
          <w:b w:val="0"/>
          <w:color w:val="auto"/>
          <w:sz w:val="32"/>
          <w:szCs w:val="32"/>
        </w:rPr>
        <w:t>5</w:t>
      </w:r>
      <w:r>
        <w:rPr>
          <w:rFonts w:hint="eastAsia" w:ascii="仿宋_GB2312" w:eastAsia="仿宋_GB2312"/>
          <w:b w:val="0"/>
          <w:color w:val="auto"/>
          <w:sz w:val="32"/>
          <w:szCs w:val="32"/>
        </w:rPr>
        <w:t xml:space="preserve"> 应急保障</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区抗震救援指挥部各成员单位按照职责分工。加强队伍、资金、物资、应急避难场所、基础设施和应急平台等保障工作。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.5.1</w:t>
      </w:r>
      <w:r>
        <w:rPr>
          <w:rFonts w:hint="eastAsia" w:ascii="仿宋_GB2312" w:eastAsia="仿宋_GB2312"/>
          <w:color w:val="auto"/>
          <w:sz w:val="32"/>
          <w:szCs w:val="32"/>
        </w:rPr>
        <w:t xml:space="preserve"> 人力资源保障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.5.1</w:t>
      </w:r>
      <w:r>
        <w:rPr>
          <w:rFonts w:hint="eastAsia" w:ascii="仿宋_GB2312" w:eastAsia="仿宋_GB2312"/>
          <w:color w:val="auto"/>
          <w:sz w:val="32"/>
          <w:szCs w:val="32"/>
        </w:rPr>
        <w:t>.1综合应急救援队伍。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本区依托消防队伍，建立区、街道二级综合应急救援队伍，承担突发事件综合应急救援任务。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color w:val="auto"/>
          <w:sz w:val="32"/>
          <w:szCs w:val="32"/>
        </w:rPr>
        <w:t>3</w:t>
      </w:r>
      <w:r>
        <w:rPr>
          <w:rFonts w:ascii="仿宋_GB2312" w:eastAsia="仿宋_GB2312"/>
          <w:b/>
          <w:color w:val="auto"/>
          <w:sz w:val="32"/>
          <w:szCs w:val="32"/>
        </w:rPr>
        <w:t>.5.1</w:t>
      </w:r>
      <w:r>
        <w:rPr>
          <w:rFonts w:hint="eastAsia" w:ascii="仿宋_GB2312" w:eastAsia="仿宋_GB2312"/>
          <w:color w:val="auto"/>
          <w:sz w:val="32"/>
          <w:szCs w:val="32"/>
        </w:rPr>
        <w:t>.2专业应急处置队伍。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区各专项应急指挥部、有关部门（单位）负责组建和管理本领域专业应急救援队伍，承担本部门、本行业突发事件应急处置及跨灾种突发事件应急处置任务。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color w:val="auto"/>
          <w:sz w:val="32"/>
          <w:szCs w:val="32"/>
        </w:rPr>
        <w:t>3</w:t>
      </w:r>
      <w:r>
        <w:rPr>
          <w:rFonts w:ascii="仿宋_GB2312" w:eastAsia="仿宋_GB2312"/>
          <w:b/>
          <w:color w:val="auto"/>
          <w:sz w:val="32"/>
          <w:szCs w:val="32"/>
        </w:rPr>
        <w:t>.5.1</w:t>
      </w:r>
      <w:r>
        <w:rPr>
          <w:rFonts w:hint="eastAsia" w:ascii="仿宋_GB2312" w:eastAsia="仿宋_GB2312"/>
          <w:color w:val="auto"/>
          <w:sz w:val="32"/>
          <w:szCs w:val="32"/>
        </w:rPr>
        <w:t>.3军队和武警部队应急处置力量。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驻龙岗人民解放军部队、武警部队和民兵、预备役部队是本</w:t>
      </w:r>
      <w:r>
        <w:rPr>
          <w:rFonts w:hint="eastAsia" w:ascii="仿宋_GB2312" w:eastAsia="仿宋_GB2312"/>
          <w:color w:val="auto"/>
          <w:sz w:val="32"/>
          <w:szCs w:val="32"/>
          <w:lang w:val="en-US" w:eastAsia="zh-CN"/>
        </w:rPr>
        <w:t>区</w:t>
      </w:r>
      <w:r>
        <w:rPr>
          <w:rFonts w:hint="eastAsia" w:ascii="仿宋_GB2312" w:eastAsia="仿宋_GB2312"/>
          <w:color w:val="auto"/>
          <w:sz w:val="32"/>
          <w:szCs w:val="32"/>
        </w:rPr>
        <w:t>处置突发事件的骨干和突击力量，</w:t>
      </w:r>
      <w:r>
        <w:rPr>
          <w:rFonts w:hint="eastAsia" w:ascii="仿宋_GB2312" w:eastAsia="仿宋_GB2312"/>
          <w:color w:val="auto"/>
          <w:sz w:val="32"/>
          <w:szCs w:val="32"/>
          <w:lang w:val="en-US" w:eastAsia="zh-CN"/>
        </w:rPr>
        <w:t>通过军地联动机制，</w:t>
      </w:r>
      <w:r>
        <w:rPr>
          <w:rFonts w:hint="eastAsia" w:ascii="仿宋_GB2312" w:eastAsia="仿宋_GB2312"/>
          <w:color w:val="auto"/>
          <w:sz w:val="32"/>
          <w:szCs w:val="32"/>
        </w:rPr>
        <w:t>参与地震抗灾救灾、应对重特大事故灾难、防控重大疫情、维护社会稳定等应急救援和处置任务。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color w:val="auto"/>
          <w:sz w:val="32"/>
          <w:szCs w:val="32"/>
        </w:rPr>
        <w:t>3</w:t>
      </w:r>
      <w:r>
        <w:rPr>
          <w:rFonts w:ascii="仿宋_GB2312" w:eastAsia="仿宋_GB2312"/>
          <w:b/>
          <w:color w:val="auto"/>
          <w:sz w:val="32"/>
          <w:szCs w:val="32"/>
        </w:rPr>
        <w:t>.5.1</w:t>
      </w:r>
      <w:r>
        <w:rPr>
          <w:rFonts w:hint="eastAsia" w:ascii="仿宋_GB2312" w:eastAsia="仿宋_GB2312"/>
          <w:color w:val="auto"/>
          <w:sz w:val="32"/>
          <w:szCs w:val="32"/>
        </w:rPr>
        <w:t>.4社会应急力量。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发挥共青团、义工联、红十字会的作用，鼓励社会团体、企事业单位、基层群众自治组织以及志愿者等人员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keepNext w:val="0"/>
        <w:keepLines w:val="0"/>
        <w:pageBreakBefore w:val="0"/>
        <w:widowControl w:val="0"/>
        <w:kinsoku/>
        <w:wordWrap/>
        <w:overflowPunct/>
        <w:topLinePunct w:val="0"/>
        <w:autoSpaceDE/>
        <w:autoSpaceDN/>
        <w:bidi w:val="0"/>
        <w:adjustRightInd/>
        <w:snapToGrid/>
        <w:spacing w:line="560" w:lineRule="exact"/>
        <w:ind w:firstLine="638"/>
        <w:jc w:val="left"/>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.5.</w:t>
      </w:r>
      <w:r>
        <w:rPr>
          <w:rFonts w:hint="eastAsia" w:ascii="仿宋_GB2312" w:eastAsia="仿宋_GB2312"/>
          <w:color w:val="auto"/>
          <w:sz w:val="32"/>
          <w:szCs w:val="32"/>
        </w:rPr>
        <w:t>2 经费保障</w:t>
      </w:r>
    </w:p>
    <w:p>
      <w:pPr>
        <w:keepNext w:val="0"/>
        <w:keepLines w:val="0"/>
        <w:pageBreakBefore w:val="0"/>
        <w:widowControl w:val="0"/>
        <w:kinsoku/>
        <w:wordWrap/>
        <w:overflowPunct/>
        <w:topLinePunct w:val="0"/>
        <w:autoSpaceDE/>
        <w:autoSpaceDN/>
        <w:bidi w:val="0"/>
        <w:adjustRightInd/>
        <w:snapToGrid/>
        <w:spacing w:line="560" w:lineRule="exact"/>
        <w:ind w:firstLine="638"/>
        <w:jc w:val="left"/>
        <w:textAlignment w:val="auto"/>
        <w:rPr>
          <w:rFonts w:ascii="仿宋_GB2312" w:eastAsia="仿宋_GB2312"/>
          <w:color w:val="auto"/>
          <w:sz w:val="32"/>
          <w:szCs w:val="32"/>
        </w:rPr>
      </w:pPr>
      <w:r>
        <w:rPr>
          <w:rFonts w:hint="eastAsia" w:ascii="仿宋_GB2312" w:eastAsia="仿宋_GB2312"/>
          <w:color w:val="auto"/>
          <w:sz w:val="32"/>
          <w:szCs w:val="32"/>
        </w:rPr>
        <w:t>区政府应采取财政措施，保障地震灾害事件预防和应对工作需要。区政府有关部门（单位）及专项应急指挥机构所需地震灾害事件预防和应对工作资金，按规定程序纳入年度区财政预算，财政的预备费应当优先保障应对突发事件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鼓励公民、法人和其他组织为应对地震灾害事件提供资金捐赠和支持。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.5.3</w:t>
      </w:r>
      <w:r>
        <w:rPr>
          <w:rFonts w:hint="eastAsia" w:ascii="仿宋_GB2312" w:eastAsia="仿宋_GB2312"/>
          <w:color w:val="auto"/>
          <w:sz w:val="32"/>
          <w:szCs w:val="32"/>
        </w:rPr>
        <w:t>物资保障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应对地震灾害，按照实物储备与商业储备相结合、生产能力与技术储备相结合、政府采购与政府补贴相结合的方式，由区政府有关部门（单位）及专项应急指挥机构分区域、分部门合理储备应急物资。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区政府、各专项应急指挥部和各有关部门（单位）按照“专业管理，专物专用”的原则，自行调拨使用本部门（单位）的应急物资。跨部门（单位）调用应急物资时，申请使用的部门（单位）应向区指挥部提出申请，按有关规定办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必要时，区应急委可以区政府名义向单位和个人有偿征用应急处置与救援所需设备、设施、场地和其他物资，或要求相关企业组织生产、供应生活必需品和应急救援物资。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w:t>
      </w:r>
      <w:r>
        <w:rPr>
          <w:rFonts w:hint="eastAsia" w:ascii="仿宋_GB2312" w:eastAsia="仿宋_GB2312"/>
          <w:color w:val="auto"/>
          <w:sz w:val="32"/>
          <w:szCs w:val="32"/>
        </w:rPr>
        <w:t>4 医疗卫生保障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区卫生健康局牵头负责，建立和完善突发事件卫生应急预案体系、卫生应急指挥体系和医疗卫生救援体系。加强突发事件应急医疗救治基地和疾病预防控制基地建设，组建卫生应急专家队伍和卫生应急处置队伍，储备医疗救治、疾病防控、检测检验等卫生应急物资，建立医疗救援和疾病防控资源动态管理数据库，掌握医疗救治机构和疾病防控制机构的资源分布、救援能力和专长，开展卫生应急队员技能培训，组织突发事件应急医疗救援、疾病预防控制演练，提高公共卫生管理和抗震救灾医疗卫生应急救援能力。必要时还可组织红十字会等组织机构和社会力量的作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w:t>
      </w:r>
      <w:r>
        <w:rPr>
          <w:rFonts w:hint="eastAsia" w:ascii="仿宋_GB2312" w:eastAsia="仿宋_GB2312"/>
          <w:color w:val="auto"/>
          <w:sz w:val="32"/>
          <w:szCs w:val="32"/>
        </w:rPr>
        <w:t>5 交通运输保障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市交通运输局龙岗管理局牵头负责，建立健全交通运输应急联动机制，保障紧急情况下的综合运输能力。必要时，可紧急动员和征用社会交通运输工具。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市交通运输局龙岗管理局牵头，龙岗交警大队及相关高速交警大队配合，建立健全应急通行机制，保障紧急情况下应急交通工具的优先安排、优先调度、优先放行，确保运输安全畅通。根据抗震救灾应急处置需要，对现场及有关道路实行交通管制，开设应急救援“绿色通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3</w:t>
      </w:r>
      <w:r>
        <w:rPr>
          <w:rFonts w:ascii="仿宋_GB2312" w:eastAsia="仿宋_GB2312"/>
          <w:color w:val="auto"/>
          <w:sz w:val="32"/>
          <w:szCs w:val="32"/>
        </w:rPr>
        <w:t>.5.</w:t>
      </w:r>
      <w:r>
        <w:rPr>
          <w:rFonts w:hint="eastAsia" w:ascii="仿宋_GB2312" w:eastAsia="仿宋_GB2312"/>
          <w:color w:val="auto"/>
          <w:sz w:val="32"/>
          <w:szCs w:val="32"/>
        </w:rPr>
        <w:t>6 治安保障</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rPr>
        <w:t>地震灾害突发事件发生后，龙岗公安分局制定维持治安秩序、实行警戒和交通管制等工作方案，加强对重点地区、重点场所、重点人群、重要物资设备的保护。</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3.5.7应急避难场所保障</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有关单位依职责负责制定全区应急避难场所专项规划。各街道、区有关部门（单位）负责本辖区、本行业、本领域的应急避难场所建设、管理和维护工作。区应急管理局负责指导和检查应急避难场所的建设、管理工作；发生</w:t>
      </w:r>
      <w:r>
        <w:rPr>
          <w:rFonts w:hint="eastAsia" w:ascii="仿宋_GB2312" w:hAnsi="仿宋_GB2312" w:eastAsia="仿宋_GB2312" w:cs="仿宋_GB2312"/>
          <w:color w:val="auto"/>
          <w:sz w:val="32"/>
          <w:szCs w:val="32"/>
          <w:lang w:val="en-US" w:eastAsia="zh-CN"/>
        </w:rPr>
        <w:t>地震</w:t>
      </w:r>
      <w:r>
        <w:rPr>
          <w:rFonts w:hint="eastAsia" w:ascii="仿宋_GB2312" w:hAnsi="仿宋_GB2312" w:eastAsia="仿宋_GB2312" w:cs="仿宋_GB2312"/>
          <w:color w:val="auto"/>
          <w:sz w:val="32"/>
          <w:szCs w:val="32"/>
        </w:rPr>
        <w:t>后，由区应急管理局统一协调使用和管理应急避难场所。</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各街道、区有关单位按要求在避难场所配置相关设施设备，设置规范的标志牌，储备必要的物资，建立健全应急避难场所维护、管理制度和制定应急预案。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eastAsia="仿宋_GB2312"/>
          <w:color w:val="auto"/>
          <w:sz w:val="32"/>
          <w:szCs w:val="32"/>
          <w:lang w:val="en-US" w:eastAsia="zh-CN"/>
        </w:rPr>
        <w:t>3.5.8</w:t>
      </w:r>
      <w:r>
        <w:rPr>
          <w:rFonts w:hint="eastAsia" w:ascii="仿宋_GB2312" w:hAnsi="仿宋_GB2312" w:eastAsia="仿宋_GB2312" w:cs="仿宋_GB2312"/>
          <w:color w:val="auto"/>
          <w:sz w:val="32"/>
          <w:szCs w:val="32"/>
        </w:rPr>
        <w:t>其他应急保障</w:t>
      </w:r>
      <w:r>
        <w:rPr>
          <w:rFonts w:hint="eastAsia" w:cs="仿宋_GB2312"/>
          <w:color w:val="auto"/>
          <w:sz w:val="32"/>
          <w:szCs w:val="32"/>
        </w:rPr>
        <w:br w:type="textWrapping"/>
      </w:r>
      <w:r>
        <w:rPr>
          <w:rFonts w:hint="eastAsia"/>
          <w:color w:val="auto"/>
          <w:sz w:val="32"/>
          <w:szCs w:val="32"/>
        </w:rPr>
        <w:t xml:space="preserve">    </w:t>
      </w:r>
      <w:r>
        <w:rPr>
          <w:rFonts w:hint="eastAsia" w:ascii="仿宋_GB2312" w:hAnsi="仿宋_GB2312" w:eastAsia="仿宋_GB2312" w:cs="仿宋_GB2312"/>
          <w:color w:val="auto"/>
          <w:sz w:val="32"/>
          <w:szCs w:val="32"/>
        </w:rPr>
        <w:t>应急救援所需的其他保障由区有关部门按照《深圳市龙岗区突发事件总体应急预案》确定的职责，依据各部门的预案进行保障。</w:t>
      </w:r>
      <w:r>
        <w:rPr>
          <w:rStyle w:val="24"/>
          <w:rFonts w:hint="eastAsia" w:ascii="仿宋_GB2312" w:eastAsia="仿宋_GB2312"/>
          <w:color w:val="auto"/>
          <w:sz w:val="32"/>
          <w:szCs w:val="32"/>
        </w:rPr>
        <w:t xml:space="preserve">  </w:t>
      </w:r>
      <w:r>
        <w:rPr>
          <w:rStyle w:val="24"/>
          <w:rFonts w:ascii="仿宋_GB2312" w:eastAsia="仿宋_GB2312"/>
          <w:color w:val="auto"/>
          <w:sz w:val="32"/>
          <w:szCs w:val="32"/>
        </w:rPr>
        <w:t xml:space="preserve"> </w:t>
      </w:r>
    </w:p>
    <w:p>
      <w:pPr>
        <w:pStyle w:val="2"/>
        <w:spacing w:before="0" w:after="0" w:line="560" w:lineRule="exact"/>
        <w:ind w:firstLine="643" w:firstLineChars="200"/>
        <w:rPr>
          <w:rFonts w:ascii="黑体" w:hAnsi="黑体" w:eastAsia="黑体"/>
          <w:color w:val="auto"/>
          <w:sz w:val="32"/>
          <w:szCs w:val="32"/>
        </w:rPr>
      </w:pPr>
      <w:bookmarkStart w:id="16" w:name="_Toc50"/>
      <w:r>
        <w:rPr>
          <w:rFonts w:ascii="黑体" w:hAnsi="黑体" w:eastAsia="黑体"/>
          <w:color w:val="auto"/>
          <w:sz w:val="32"/>
          <w:szCs w:val="32"/>
        </w:rPr>
        <w:t>4</w:t>
      </w:r>
      <w:r>
        <w:rPr>
          <w:rFonts w:hint="eastAsia" w:ascii="黑体" w:hAnsi="黑体" w:eastAsia="黑体"/>
          <w:color w:val="auto"/>
          <w:sz w:val="32"/>
          <w:szCs w:val="32"/>
        </w:rPr>
        <w:t xml:space="preserve"> 监督管理</w:t>
      </w:r>
      <w:bookmarkEnd w:id="16"/>
    </w:p>
    <w:p>
      <w:pPr>
        <w:pStyle w:val="3"/>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b w:val="0"/>
          <w:color w:val="auto"/>
          <w:sz w:val="32"/>
          <w:szCs w:val="32"/>
        </w:rPr>
        <w:t>　</w:t>
      </w:r>
      <w:bookmarkStart w:id="17" w:name="_Toc12921"/>
      <w:r>
        <w:rPr>
          <w:rFonts w:ascii="仿宋_GB2312" w:eastAsia="仿宋_GB2312"/>
          <w:b w:val="0"/>
          <w:color w:val="auto"/>
          <w:sz w:val="32"/>
          <w:szCs w:val="32"/>
        </w:rPr>
        <w:t>4</w:t>
      </w:r>
      <w:r>
        <w:rPr>
          <w:rFonts w:hint="eastAsia" w:ascii="仿宋_GB2312" w:eastAsia="仿宋_GB2312"/>
          <w:b w:val="0"/>
          <w:color w:val="auto"/>
          <w:sz w:val="32"/>
          <w:szCs w:val="32"/>
        </w:rPr>
        <w:t>.1预案管理</w:t>
      </w:r>
      <w:bookmarkEnd w:id="17"/>
    </w:p>
    <w:p>
      <w:pPr>
        <w:spacing w:line="560" w:lineRule="exact"/>
        <w:rPr>
          <w:rFonts w:ascii="仿宋_GB2312" w:eastAsia="仿宋_GB2312"/>
          <w:color w:val="auto"/>
          <w:sz w:val="32"/>
          <w:szCs w:val="32"/>
        </w:rPr>
      </w:pPr>
      <w:r>
        <w:rPr>
          <w:rFonts w:hint="eastAsia" w:ascii="仿宋_GB2312" w:eastAsia="仿宋_GB2312"/>
          <w:color w:val="auto"/>
          <w:sz w:val="32"/>
          <w:szCs w:val="32"/>
        </w:rPr>
        <w:t>　　区应急管理局负责组织修订本预案，报区政府批准后实施，并报市应急管理局（地震局）备案。</w:t>
      </w:r>
    </w:p>
    <w:p>
      <w:pPr>
        <w:spacing w:line="560" w:lineRule="exact"/>
        <w:rPr>
          <w:rFonts w:ascii="仿宋_GB2312" w:eastAsia="仿宋_GB2312"/>
          <w:color w:val="auto"/>
          <w:sz w:val="32"/>
          <w:szCs w:val="32"/>
        </w:rPr>
      </w:pPr>
      <w:r>
        <w:rPr>
          <w:rFonts w:hint="eastAsia" w:ascii="仿宋_GB2312" w:eastAsia="仿宋_GB2312"/>
          <w:color w:val="auto"/>
          <w:sz w:val="32"/>
          <w:szCs w:val="32"/>
        </w:rPr>
        <w:t>　　各有关部门结合本部门职能制订地震应急预案，报区应急管理局备案。各街道制订本区域地震应急预案或行动方案，报区应急管理局备案。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交通、铁路、水利、电力、燃气、通信、地铁、广播电视等基础设施和学校、医院、车站、大型商场、影剧院等的经营管理单位以及可能发生次生灾害的危险物品等生产经营单位，应当制订地震应急预案。</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18" w:name="_Toc7088"/>
      <w:r>
        <w:rPr>
          <w:rFonts w:hint="eastAsia" w:ascii="仿宋_GB2312" w:eastAsia="仿宋_GB2312"/>
          <w:b w:val="0"/>
          <w:color w:val="auto"/>
          <w:sz w:val="32"/>
          <w:szCs w:val="32"/>
        </w:rPr>
        <w:t>4.2预案演练</w:t>
      </w:r>
      <w:bookmarkEnd w:id="18"/>
    </w:p>
    <w:p>
      <w:pPr>
        <w:spacing w:line="579"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区应急管理局</w:t>
      </w:r>
      <w:r>
        <w:rPr>
          <w:rFonts w:hint="eastAsia" w:ascii="仿宋_GB2312" w:eastAsia="仿宋_GB2312"/>
          <w:color w:val="auto"/>
          <w:sz w:val="32"/>
          <w:szCs w:val="32"/>
          <w:lang w:eastAsia="zh-CN"/>
        </w:rPr>
        <w:t>、</w:t>
      </w:r>
      <w:r>
        <w:rPr>
          <w:rFonts w:hint="eastAsia" w:ascii="仿宋_GB2312" w:eastAsia="仿宋_GB2312"/>
          <w:color w:val="auto"/>
          <w:sz w:val="32"/>
          <w:szCs w:val="32"/>
        </w:rPr>
        <w:t>有关部门</w:t>
      </w:r>
      <w:r>
        <w:rPr>
          <w:rFonts w:hint="eastAsia" w:ascii="仿宋_GB2312" w:eastAsia="仿宋_GB2312"/>
          <w:color w:val="auto"/>
          <w:sz w:val="32"/>
          <w:szCs w:val="32"/>
          <w:lang w:eastAsia="zh-CN"/>
        </w:rPr>
        <w:t>、</w:t>
      </w:r>
      <w:r>
        <w:rPr>
          <w:rFonts w:hint="eastAsia" w:ascii="仿宋_GB2312" w:eastAsia="仿宋_GB2312"/>
          <w:color w:val="auto"/>
          <w:sz w:val="32"/>
          <w:szCs w:val="32"/>
        </w:rPr>
        <w:t>街道、以及企事业单位，按预案要求结合实际开展地震应急演练，至少每年一次</w:t>
      </w:r>
      <w:r>
        <w:rPr>
          <w:rFonts w:hint="eastAsia" w:ascii="仿宋_GB2312" w:eastAsia="仿宋_GB2312"/>
          <w:color w:val="auto"/>
          <w:sz w:val="32"/>
          <w:szCs w:val="32"/>
          <w:lang w:eastAsia="zh-CN"/>
        </w:rPr>
        <w:t>，</w:t>
      </w:r>
      <w:r>
        <w:rPr>
          <w:rFonts w:hint="eastAsia" w:ascii="仿宋_GB2312" w:eastAsia="仿宋_GB2312"/>
          <w:color w:val="auto"/>
          <w:sz w:val="32"/>
          <w:szCs w:val="32"/>
        </w:rPr>
        <w:t>通过演练发现存在的问题，提高应急处置能力</w:t>
      </w:r>
      <w:r>
        <w:rPr>
          <w:rFonts w:hint="eastAsia" w:ascii="仿宋_GB2312" w:eastAsia="仿宋_GB2312"/>
          <w:color w:val="auto"/>
          <w:sz w:val="32"/>
          <w:szCs w:val="32"/>
          <w:lang w:eastAsia="zh-CN"/>
        </w:rPr>
        <w:t>。</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19" w:name="_Toc5398"/>
      <w:r>
        <w:rPr>
          <w:rFonts w:ascii="仿宋_GB2312" w:eastAsia="仿宋_GB2312"/>
          <w:b w:val="0"/>
          <w:color w:val="auto"/>
          <w:sz w:val="32"/>
          <w:szCs w:val="32"/>
        </w:rPr>
        <w:t>4</w:t>
      </w:r>
      <w:r>
        <w:rPr>
          <w:rFonts w:hint="eastAsia" w:ascii="仿宋_GB2312" w:eastAsia="仿宋_GB2312"/>
          <w:b w:val="0"/>
          <w:color w:val="auto"/>
          <w:sz w:val="32"/>
          <w:szCs w:val="32"/>
        </w:rPr>
        <w:t>.3 宣教培训</w:t>
      </w:r>
      <w:bookmarkEnd w:id="19"/>
    </w:p>
    <w:p>
      <w:pPr>
        <w:spacing w:line="560" w:lineRule="exact"/>
        <w:rPr>
          <w:rFonts w:ascii="仿宋_GB2312" w:eastAsia="仿宋_GB2312"/>
          <w:color w:val="auto"/>
          <w:sz w:val="32"/>
          <w:szCs w:val="32"/>
        </w:rPr>
      </w:pPr>
      <w:r>
        <w:rPr>
          <w:rFonts w:hint="eastAsia" w:ascii="仿宋_GB2312" w:eastAsia="仿宋_GB2312"/>
          <w:color w:val="auto"/>
          <w:sz w:val="32"/>
          <w:szCs w:val="32"/>
        </w:rPr>
        <w:t>　　区、各街道及教育、人力资源社会保障、文化广电旅游体育、广播电视、新闻媒体等单位要做好防震减灾科普知识的宣传教育工作，不断提高公众的防震减灾意识和自救互救能力。要充分利用广播、电视、互联网、报纸、地铁多媒体、手机短信等各种媒体，加大对防震减灾工作的宣传、培训力度。</w:t>
      </w:r>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20" w:name="_Toc10796"/>
      <w:r>
        <w:rPr>
          <w:rFonts w:ascii="仿宋_GB2312" w:eastAsia="仿宋_GB2312"/>
          <w:b w:val="0"/>
          <w:color w:val="auto"/>
          <w:sz w:val="32"/>
          <w:szCs w:val="32"/>
        </w:rPr>
        <w:t>4</w:t>
      </w:r>
      <w:r>
        <w:rPr>
          <w:rFonts w:hint="eastAsia" w:ascii="仿宋_GB2312" w:eastAsia="仿宋_GB2312"/>
          <w:b w:val="0"/>
          <w:color w:val="auto"/>
          <w:sz w:val="32"/>
          <w:szCs w:val="32"/>
        </w:rPr>
        <w:t>.4责任与奖惩</w:t>
      </w:r>
      <w:bookmarkEnd w:id="20"/>
    </w:p>
    <w:p>
      <w:pPr>
        <w:spacing w:line="560" w:lineRule="exact"/>
        <w:rPr>
          <w:rFonts w:ascii="仿宋_GB2312" w:eastAsia="仿宋_GB2312"/>
          <w:color w:val="auto"/>
          <w:sz w:val="32"/>
          <w:szCs w:val="32"/>
        </w:rPr>
      </w:pPr>
      <w:r>
        <w:rPr>
          <w:rFonts w:hint="eastAsia" w:ascii="仿宋_GB2312" w:eastAsia="仿宋_GB2312"/>
          <w:color w:val="auto"/>
          <w:sz w:val="32"/>
          <w:szCs w:val="32"/>
        </w:rPr>
        <w:t>　　对在抗震救灾工作中认真履职、作出突出贡献的先进集体和个人给予表彰和奖励。对玩忽职守、失职、渎职的有关责任人，要依据有关规定严肃追究责任，构成犯罪的，依法追究刑事责任。</w:t>
      </w:r>
    </w:p>
    <w:p>
      <w:pPr>
        <w:pStyle w:val="2"/>
        <w:spacing w:before="0" w:after="0" w:line="560" w:lineRule="exact"/>
        <w:ind w:firstLine="643" w:firstLineChars="200"/>
        <w:rPr>
          <w:rFonts w:ascii="黑体" w:hAnsi="黑体" w:eastAsia="黑体"/>
          <w:color w:val="auto"/>
          <w:sz w:val="32"/>
          <w:szCs w:val="32"/>
        </w:rPr>
      </w:pPr>
      <w:bookmarkStart w:id="21" w:name="_Toc17859"/>
      <w:r>
        <w:rPr>
          <w:rFonts w:ascii="黑体" w:hAnsi="黑体" w:eastAsia="黑体"/>
          <w:color w:val="auto"/>
          <w:sz w:val="32"/>
          <w:szCs w:val="32"/>
        </w:rPr>
        <w:t>5</w:t>
      </w:r>
      <w:r>
        <w:rPr>
          <w:rFonts w:hint="eastAsia" w:ascii="黑体" w:hAnsi="黑体" w:eastAsia="黑体"/>
          <w:color w:val="auto"/>
          <w:sz w:val="32"/>
          <w:szCs w:val="32"/>
        </w:rPr>
        <w:t xml:space="preserve"> 附则</w:t>
      </w:r>
      <w:bookmarkEnd w:id="21"/>
    </w:p>
    <w:p>
      <w:pPr>
        <w:pStyle w:val="3"/>
        <w:spacing w:before="0" w:beforeAutospacing="0" w:after="0" w:afterAutospacing="0" w:line="560" w:lineRule="exact"/>
        <w:rPr>
          <w:rFonts w:ascii="仿宋_GB2312" w:eastAsia="仿宋_GB2312"/>
          <w:b w:val="0"/>
          <w:color w:val="auto"/>
          <w:sz w:val="32"/>
          <w:szCs w:val="32"/>
        </w:rPr>
      </w:pPr>
      <w:r>
        <w:rPr>
          <w:rFonts w:hint="eastAsia" w:ascii="仿宋_GB2312" w:eastAsia="仿宋_GB2312"/>
          <w:b w:val="0"/>
          <w:color w:val="auto"/>
          <w:sz w:val="32"/>
          <w:szCs w:val="32"/>
        </w:rPr>
        <w:t>　　</w:t>
      </w:r>
      <w:bookmarkStart w:id="22" w:name="_Toc1639"/>
      <w:r>
        <w:rPr>
          <w:rFonts w:ascii="仿宋_GB2312" w:eastAsia="仿宋_GB2312"/>
          <w:b w:val="0"/>
          <w:color w:val="auto"/>
          <w:sz w:val="32"/>
          <w:szCs w:val="32"/>
        </w:rPr>
        <w:t>5</w:t>
      </w:r>
      <w:r>
        <w:rPr>
          <w:rFonts w:hint="eastAsia" w:ascii="仿宋_GB2312" w:eastAsia="仿宋_GB2312"/>
          <w:b w:val="0"/>
          <w:color w:val="auto"/>
          <w:sz w:val="32"/>
          <w:szCs w:val="32"/>
        </w:rPr>
        <w:t>.1 名词术语</w:t>
      </w:r>
      <w:bookmarkEnd w:id="22"/>
    </w:p>
    <w:p>
      <w:pPr>
        <w:spacing w:line="560" w:lineRule="exact"/>
        <w:rPr>
          <w:rFonts w:ascii="仿宋_GB2312" w:eastAsia="仿宋_GB2312"/>
          <w:color w:val="auto"/>
          <w:sz w:val="32"/>
          <w:szCs w:val="32"/>
        </w:rPr>
      </w:pPr>
      <w:r>
        <w:rPr>
          <w:rFonts w:hint="eastAsia" w:ascii="仿宋_GB2312" w:eastAsia="仿宋_GB2312"/>
          <w:color w:val="auto"/>
          <w:sz w:val="32"/>
          <w:szCs w:val="32"/>
        </w:rPr>
        <w:t>　　（1）本预案有关数量的表述中，“以上”含本数，“以下”不含本数。</w:t>
      </w:r>
    </w:p>
    <w:p>
      <w:pPr>
        <w:spacing w:line="560" w:lineRule="exact"/>
        <w:rPr>
          <w:rFonts w:ascii="仿宋_GB2312" w:eastAsia="仿宋_GB2312"/>
          <w:color w:val="auto"/>
          <w:sz w:val="32"/>
          <w:szCs w:val="32"/>
        </w:rPr>
      </w:pPr>
      <w:r>
        <w:rPr>
          <w:rFonts w:hint="eastAsia" w:ascii="仿宋_GB2312" w:eastAsia="仿宋_GB2312"/>
          <w:color w:val="auto"/>
          <w:sz w:val="32"/>
          <w:szCs w:val="32"/>
        </w:rPr>
        <w:t>　　（2）次生灾害是指地震造成工程结构、设施和自然环境破坏而引发的灾害。如火灾、爆炸、瘟疫、有毒有害物质污染以及水灾、泥石流和滑坡等对居民生产、生活的破坏。</w:t>
      </w:r>
    </w:p>
    <w:p>
      <w:pPr>
        <w:spacing w:line="560" w:lineRule="exact"/>
        <w:rPr>
          <w:rFonts w:ascii="仿宋_GB2312" w:eastAsia="仿宋_GB2312"/>
          <w:color w:val="auto"/>
          <w:sz w:val="32"/>
          <w:szCs w:val="32"/>
        </w:rPr>
      </w:pPr>
      <w:r>
        <w:rPr>
          <w:rFonts w:hint="eastAsia" w:ascii="仿宋_GB2312" w:eastAsia="仿宋_GB2312"/>
          <w:color w:val="auto"/>
          <w:sz w:val="32"/>
          <w:szCs w:val="32"/>
        </w:rPr>
        <w:t>　　（3）生命线设施是指电力、供水、排水、燃气、热力、供油系统以及通信、交通等公用设施。</w:t>
      </w:r>
    </w:p>
    <w:p>
      <w:pPr>
        <w:spacing w:line="560" w:lineRule="exact"/>
        <w:rPr>
          <w:rFonts w:ascii="仿宋_GB2312" w:eastAsia="仿宋_GB2312"/>
          <w:color w:val="auto"/>
          <w:sz w:val="32"/>
          <w:szCs w:val="32"/>
        </w:rPr>
      </w:pPr>
      <w:r>
        <w:rPr>
          <w:rFonts w:hint="eastAsia" w:ascii="仿宋_GB2312" w:eastAsia="仿宋_GB2312"/>
          <w:color w:val="auto"/>
          <w:sz w:val="32"/>
          <w:szCs w:val="32"/>
        </w:rPr>
        <w:t>　　（4）直接经济损失是指地震及地震地质灾害、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.2 本预案由区政府组织修订，由区应急管理局负责解释。</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.3</w:t>
      </w:r>
      <w:r>
        <w:rPr>
          <w:rFonts w:ascii="仿宋_GB2312" w:eastAsia="仿宋_GB2312"/>
          <w:color w:val="auto"/>
          <w:sz w:val="32"/>
          <w:szCs w:val="32"/>
        </w:rPr>
        <w:t xml:space="preserve"> </w:t>
      </w:r>
      <w:r>
        <w:rPr>
          <w:rFonts w:hint="eastAsia" w:ascii="仿宋_GB2312" w:eastAsia="仿宋_GB2312"/>
          <w:color w:val="auto"/>
          <w:sz w:val="32"/>
          <w:szCs w:val="32"/>
        </w:rPr>
        <w:t>本预案自发布之日起实施。</w:t>
      </w:r>
      <w:r>
        <w:rPr>
          <w:rFonts w:hint="eastAsia" w:ascii="仿宋_GB2312" w:hAnsi="仿宋_GB2312" w:eastAsia="仿宋_GB2312" w:cs="仿宋_GB2312"/>
          <w:color w:val="auto"/>
          <w:sz w:val="32"/>
          <w:szCs w:val="32"/>
        </w:rPr>
        <w:t>原《</w:t>
      </w:r>
      <w:r>
        <w:rPr>
          <w:rFonts w:hint="eastAsia" w:ascii="仿宋_GB2312" w:eastAsia="仿宋_GB2312"/>
          <w:color w:val="auto"/>
          <w:sz w:val="32"/>
          <w:szCs w:val="32"/>
        </w:rPr>
        <w:t>深圳市龙岗区地震应急预案</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年版）同时废止。</w:t>
      </w:r>
    </w:p>
    <w:p>
      <w:pPr>
        <w:pStyle w:val="2"/>
        <w:spacing w:before="0" w:after="0" w:line="560" w:lineRule="exact"/>
        <w:ind w:firstLine="643" w:firstLineChars="200"/>
        <w:rPr>
          <w:rFonts w:hint="eastAsia" w:ascii="黑体" w:hAnsi="黑体" w:eastAsia="黑体"/>
          <w:color w:val="auto"/>
          <w:sz w:val="32"/>
          <w:szCs w:val="32"/>
        </w:rPr>
      </w:pPr>
      <w:bookmarkStart w:id="23" w:name="_Toc24180"/>
      <w:r>
        <w:rPr>
          <w:rFonts w:ascii="黑体" w:hAnsi="黑体" w:eastAsia="黑体"/>
          <w:color w:val="auto"/>
          <w:sz w:val="32"/>
          <w:szCs w:val="32"/>
        </w:rPr>
        <w:t>6</w:t>
      </w:r>
      <w:r>
        <w:rPr>
          <w:rFonts w:hint="eastAsia" w:ascii="黑体" w:hAnsi="黑体" w:eastAsia="黑体"/>
          <w:color w:val="auto"/>
          <w:sz w:val="32"/>
          <w:szCs w:val="32"/>
        </w:rPr>
        <w:t xml:space="preserve"> 附件</w:t>
      </w:r>
      <w:bookmarkEnd w:id="23"/>
    </w:p>
    <w:p>
      <w:pPr>
        <w:spacing w:line="560" w:lineRule="exact"/>
        <w:rPr>
          <w:rFonts w:ascii="仿宋_GB2312" w:eastAsia="仿宋_GB2312"/>
          <w:color w:val="auto"/>
          <w:sz w:val="32"/>
          <w:szCs w:val="32"/>
        </w:rPr>
      </w:pPr>
      <w:r>
        <w:rPr>
          <w:rFonts w:hint="eastAsia" w:ascii="仿宋_GB2312" w:eastAsia="仿宋_GB2312"/>
          <w:color w:val="auto"/>
          <w:sz w:val="32"/>
          <w:szCs w:val="32"/>
        </w:rPr>
        <w:t>　　附件</w:t>
      </w:r>
      <w:r>
        <w:rPr>
          <w:rFonts w:ascii="仿宋_GB2312" w:eastAsia="仿宋_GB2312"/>
          <w:color w:val="auto"/>
          <w:sz w:val="32"/>
          <w:szCs w:val="32"/>
        </w:rPr>
        <w:t>1</w:t>
      </w:r>
      <w:r>
        <w:rPr>
          <w:rFonts w:hint="eastAsia" w:ascii="仿宋_GB2312" w:eastAsia="仿宋_GB2312"/>
          <w:color w:val="auto"/>
          <w:sz w:val="32"/>
          <w:szCs w:val="32"/>
        </w:rPr>
        <w:t>：地震灾害分级标准</w:t>
      </w:r>
    </w:p>
    <w:p>
      <w:pPr>
        <w:spacing w:line="560" w:lineRule="exact"/>
        <w:rPr>
          <w:rFonts w:ascii="仿宋_GB2312" w:eastAsia="仿宋_GB2312"/>
          <w:color w:val="auto"/>
          <w:sz w:val="32"/>
          <w:szCs w:val="32"/>
        </w:rPr>
      </w:pPr>
      <w:r>
        <w:rPr>
          <w:rFonts w:hint="eastAsia" w:ascii="仿宋_GB2312" w:eastAsia="仿宋_GB2312"/>
          <w:color w:val="auto"/>
          <w:sz w:val="32"/>
          <w:szCs w:val="32"/>
        </w:rPr>
        <w:t>　　附件2：现场指挥部各工作组职责分工一览表</w:t>
      </w:r>
    </w:p>
    <w:p>
      <w:pPr>
        <w:rPr>
          <w:color w:val="auto"/>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adjustRightInd w:val="0"/>
        <w:snapToGrid w:val="0"/>
        <w:spacing w:line="560" w:lineRule="exact"/>
        <w:ind w:firstLine="640" w:firstLineChars="200"/>
        <w:outlineLvl w:val="1"/>
        <w:rPr>
          <w:rFonts w:hint="eastAsia" w:ascii="仿宋_GB2312" w:hAnsi="宋体" w:eastAsia="仿宋_GB2312" w:cs="宋体"/>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宋体" w:eastAsia="仿宋_GB2312" w:cs="宋体"/>
          <w:bCs/>
          <w:color w:val="auto"/>
          <w:sz w:val="32"/>
          <w:szCs w:val="32"/>
        </w:rPr>
      </w:pPr>
      <w:bookmarkStart w:id="24" w:name="_Toc19408"/>
      <w:r>
        <w:rPr>
          <w:rFonts w:hint="eastAsia" w:ascii="仿宋_GB2312" w:hAnsi="宋体" w:eastAsia="仿宋_GB2312" w:cs="宋体"/>
          <w:bCs/>
          <w:color w:val="auto"/>
          <w:sz w:val="32"/>
          <w:szCs w:val="32"/>
        </w:rPr>
        <w:t>附件1：地震灾害分级标准</w:t>
      </w:r>
      <w:bookmarkEnd w:id="24"/>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25" w:name="_Toc12953302"/>
      <w:bookmarkStart w:id="26" w:name="_Toc12953060"/>
      <w:bookmarkStart w:id="27" w:name="_Toc12953204"/>
      <w:bookmarkStart w:id="28" w:name="_Toc12953542"/>
      <w:bookmarkStart w:id="29" w:name="_Toc27120"/>
      <w:bookmarkStart w:id="30" w:name="_Toc12953585"/>
      <w:bookmarkStart w:id="31" w:name="_Toc12951565"/>
      <w:bookmarkStart w:id="32" w:name="_Toc5852"/>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特别重大地震灾害（Ⅰ级）</w:t>
      </w:r>
      <w:bookmarkEnd w:id="25"/>
      <w:bookmarkEnd w:id="26"/>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（1）造成300人以上死亡（含失踪），或者直接经济损失占我省上一年国内生产总值1%以上的地震灾害。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（2）人口较密集地区发生7.0级以上地震，或者珠江三角洲等人口密集地区发生6.0级以上地震，初判为特别重大地震灾害。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33" w:name="_Toc7998"/>
      <w:bookmarkStart w:id="34" w:name="_Toc19857"/>
      <w:bookmarkStart w:id="35" w:name="_Toc12953586"/>
      <w:bookmarkStart w:id="36" w:name="_Toc12953205"/>
      <w:bookmarkStart w:id="37" w:name="_Toc12953061"/>
      <w:bookmarkStart w:id="38" w:name="_Toc12953543"/>
      <w:bookmarkStart w:id="39" w:name="_Toc12951566"/>
      <w:bookmarkStart w:id="40" w:name="_Toc12953303"/>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重大地震灾害（Ⅱ级）</w:t>
      </w:r>
      <w:bookmarkEnd w:id="33"/>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（1）造成50人以上、300人以下死亡（含失踪），或者造成严重经济损失的地震灾害。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（2）人口较密集地区发生6.0级以上、7.0级以下地震，或者珠江三角洲等人口密集地区发生5.0级以上、6.0级以下地震，初判为重大地震灾害。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41" w:name="_Toc12951567"/>
      <w:bookmarkStart w:id="42" w:name="_Toc1176"/>
      <w:bookmarkStart w:id="43" w:name="_Toc28511"/>
      <w:bookmarkStart w:id="44" w:name="_Toc12953062"/>
      <w:bookmarkStart w:id="45" w:name="_Toc12953544"/>
      <w:bookmarkStart w:id="46" w:name="_Toc12953587"/>
      <w:bookmarkStart w:id="47" w:name="_Toc12953206"/>
      <w:bookmarkStart w:id="48" w:name="_Toc12953304"/>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较大地震灾害（Ⅲ级）</w:t>
      </w:r>
      <w:bookmarkEnd w:id="41"/>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（1）造成10人以上、50人以下死亡（含失踪），或者造成较重经济损失的地震灾害。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（2）人口较密集地区发生5.0级以上、6.0级以下地震，珠江三角洲等人口密集地区发生4.0级以上、5.0级以下地震，初判为较大地震灾害。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一般地震灾害（Ⅳ级）</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（1）造成10人以下死亡（含失踪），或者造成一定经济损失的地震灾害。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（2）人口较密集地区发生4.0级以上、5.0级以下地震，初判为一般地震灾害。</w:t>
      </w:r>
      <w:r>
        <w:rPr>
          <w:rFonts w:hint="eastAsia" w:ascii="仿宋_GB2312" w:hAnsi="仿宋_GB2312" w:eastAsia="仿宋_GB2312" w:cs="仿宋_GB2312"/>
          <w:color w:val="auto"/>
          <w:sz w:val="32"/>
          <w:szCs w:val="32"/>
        </w:rPr>
        <w:t>　</w:t>
      </w:r>
      <w:bookmarkStart w:id="49" w:name="_Toc20430585"/>
    </w:p>
    <w:p>
      <w:pPr>
        <w:rPr>
          <w:rFonts w:hint="eastAsia" w:ascii="仿宋_GB2312" w:hAnsi="仿宋_GB2312" w:eastAsia="仿宋_GB2312" w:cs="仿宋_GB2312"/>
          <w:color w:val="auto"/>
          <w:sz w:val="32"/>
          <w:szCs w:val="32"/>
        </w:rPr>
        <w:sectPr>
          <w:footerReference r:id="rId6"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560" w:lineRule="exact"/>
        <w:ind w:firstLine="640" w:firstLineChars="200"/>
        <w:outlineLvl w:val="1"/>
        <w:rPr>
          <w:rFonts w:ascii="仿宋_GB2312" w:hAnsi="宋体" w:eastAsia="仿宋_GB2312" w:cs="宋体"/>
          <w:bCs/>
          <w:color w:val="auto"/>
          <w:sz w:val="32"/>
          <w:szCs w:val="32"/>
        </w:rPr>
      </w:pPr>
      <w:bookmarkStart w:id="50" w:name="_Toc6373"/>
      <w:r>
        <w:rPr>
          <w:rFonts w:hint="eastAsia" w:ascii="仿宋_GB2312" w:hAnsi="宋体" w:eastAsia="仿宋_GB2312" w:cs="宋体"/>
          <w:bCs/>
          <w:color w:val="auto"/>
          <w:sz w:val="32"/>
          <w:szCs w:val="32"/>
        </w:rPr>
        <w:t>附件</w:t>
      </w:r>
      <w:r>
        <w:rPr>
          <w:rFonts w:ascii="仿宋_GB2312" w:hAnsi="宋体" w:eastAsia="仿宋_GB2312" w:cs="宋体"/>
          <w:bCs/>
          <w:color w:val="auto"/>
          <w:sz w:val="32"/>
          <w:szCs w:val="32"/>
        </w:rPr>
        <w:t>2</w:t>
      </w:r>
      <w:r>
        <w:rPr>
          <w:rFonts w:hint="eastAsia" w:ascii="仿宋_GB2312" w:hAnsi="宋体" w:eastAsia="仿宋_GB2312" w:cs="宋体"/>
          <w:bCs/>
          <w:color w:val="auto"/>
          <w:sz w:val="32"/>
          <w:szCs w:val="32"/>
        </w:rPr>
        <w:t>：现场指挥部各工作组职责分工一览表</w:t>
      </w:r>
      <w:bookmarkEnd w:id="49"/>
      <w:bookmarkEnd w:id="50"/>
    </w:p>
    <w:tbl>
      <w:tblPr>
        <w:tblStyle w:val="20"/>
        <w:tblpPr w:leftFromText="180" w:rightFromText="180" w:vertAnchor="text" w:horzAnchor="page" w:tblpX="1433" w:tblpY="496"/>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905"/>
        <w:gridCol w:w="6115"/>
        <w:gridCol w:w="2660"/>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blHeader/>
        </w:trPr>
        <w:tc>
          <w:tcPr>
            <w:tcW w:w="877" w:type="dxa"/>
            <w:vAlign w:val="center"/>
          </w:tcPr>
          <w:p>
            <w:pPr>
              <w:spacing w:line="400" w:lineRule="exact"/>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905" w:type="dxa"/>
            <w:vAlign w:val="center"/>
          </w:tcPr>
          <w:p>
            <w:pPr>
              <w:spacing w:line="4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6115" w:type="dxa"/>
            <w:vAlign w:val="center"/>
          </w:tcPr>
          <w:p>
            <w:pPr>
              <w:spacing w:line="4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主要职责</w:t>
            </w:r>
          </w:p>
        </w:tc>
        <w:tc>
          <w:tcPr>
            <w:tcW w:w="2660" w:type="dxa"/>
            <w:vAlign w:val="center"/>
          </w:tcPr>
          <w:p>
            <w:pPr>
              <w:spacing w:line="4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牵头部门</w:t>
            </w:r>
          </w:p>
        </w:tc>
        <w:tc>
          <w:tcPr>
            <w:tcW w:w="2617" w:type="dxa"/>
            <w:vAlign w:val="center"/>
          </w:tcPr>
          <w:p>
            <w:pPr>
              <w:spacing w:line="40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1</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综合协调组</w:t>
            </w:r>
          </w:p>
        </w:tc>
        <w:tc>
          <w:tcPr>
            <w:tcW w:w="6115" w:type="dxa"/>
            <w:vAlign w:val="center"/>
          </w:tcPr>
          <w:p>
            <w:pPr>
              <w:widowControl/>
              <w:rPr>
                <w:rFonts w:ascii="仿宋" w:hAnsi="仿宋" w:eastAsia="仿宋" w:cs="仿宋"/>
                <w:bCs/>
                <w:color w:val="auto"/>
                <w:sz w:val="24"/>
                <w:szCs w:val="24"/>
              </w:rPr>
            </w:pPr>
            <w:r>
              <w:rPr>
                <w:rFonts w:ascii="仿宋" w:hAnsi="仿宋" w:eastAsia="仿宋" w:cs="仿宋"/>
                <w:bCs/>
                <w:color w:val="auto"/>
                <w:sz w:val="24"/>
                <w:szCs w:val="24"/>
              </w:rPr>
              <w:t>统筹协调现场指挥部开设、运行、升级和撤销等工作；负责信息收集汇总，提供指挥决策参考；及时向上级汇报事件动态， 传达上级指示；协助现场指挥官协调各工作组参与处置工作，形成应急救援合力；组织协调救援力量和应急资源，做好队伍人员签到、物资签收发放等工作；负责应急标识和现场工作证件的发放、登记、回收等管理工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区应急管理局</w:t>
            </w:r>
          </w:p>
        </w:tc>
        <w:tc>
          <w:tcPr>
            <w:tcW w:w="2617" w:type="dxa"/>
            <w:vAlign w:val="center"/>
          </w:tcPr>
          <w:p>
            <w:pPr>
              <w:widowControl/>
              <w:rPr>
                <w:rFonts w:ascii="仿宋" w:hAnsi="仿宋" w:eastAsia="仿宋" w:cs="仿宋"/>
                <w:bCs/>
                <w:color w:val="auto"/>
                <w:sz w:val="24"/>
                <w:szCs w:val="24"/>
              </w:rPr>
            </w:pPr>
            <w:r>
              <w:rPr>
                <w:rFonts w:ascii="仿宋" w:hAnsi="仿宋" w:eastAsia="仿宋" w:cs="仿宋"/>
                <w:bCs/>
                <w:color w:val="auto"/>
                <w:sz w:val="24"/>
                <w:szCs w:val="24"/>
              </w:rPr>
              <w:t>龙岗公安局分局、 市生态环境局、 市交通运输局龙岗管理局等</w:t>
            </w:r>
            <w:r>
              <w:rPr>
                <w:rFonts w:hint="eastAsia" w:ascii="仿宋" w:hAnsi="仿宋" w:eastAsia="仿宋" w:cs="仿宋"/>
                <w:bCs/>
                <w:color w:val="auto"/>
                <w:sz w:val="24"/>
                <w:szCs w:val="24"/>
              </w:rPr>
              <w:t>有关部门（单位）、有关街道办事处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2</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应急专家组</w:t>
            </w:r>
          </w:p>
        </w:tc>
        <w:tc>
          <w:tcPr>
            <w:tcW w:w="6115" w:type="dxa"/>
            <w:vAlign w:val="center"/>
          </w:tcPr>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 xml:space="preserve">组织有关部门选派相关领域专家组成， 主要职责是分析、 研判突发事件态势，为现场指挥部提供技术支持和决策咨询。 </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区应急管理局</w:t>
            </w:r>
          </w:p>
        </w:tc>
        <w:tc>
          <w:tcPr>
            <w:tcW w:w="2617" w:type="dxa"/>
            <w:vAlign w:val="center"/>
          </w:tcPr>
          <w:p>
            <w:pPr>
              <w:widowControl/>
              <w:rPr>
                <w:rFonts w:ascii="仿宋" w:hAnsi="仿宋" w:eastAsia="仿宋" w:cs="仿宋"/>
                <w:bCs/>
                <w:color w:val="auto"/>
                <w:sz w:val="24"/>
                <w:szCs w:val="24"/>
              </w:rPr>
            </w:pPr>
            <w:r>
              <w:rPr>
                <w:rFonts w:hint="eastAsia" w:ascii="仿宋" w:hAnsi="仿宋" w:eastAsia="仿宋" w:cs="仿宋"/>
                <w:bCs/>
                <w:color w:val="auto"/>
                <w:sz w:val="24"/>
                <w:szCs w:val="24"/>
              </w:rPr>
              <w:t>区住建局、区</w:t>
            </w:r>
            <w:r>
              <w:rPr>
                <w:rFonts w:ascii="仿宋" w:hAnsi="仿宋" w:eastAsia="仿宋" w:cs="仿宋"/>
                <w:bCs/>
                <w:color w:val="auto"/>
                <w:sz w:val="24"/>
                <w:szCs w:val="24"/>
              </w:rPr>
              <w:t>生态环境局、</w:t>
            </w:r>
            <w:r>
              <w:rPr>
                <w:rFonts w:hint="eastAsia" w:ascii="仿宋" w:hAnsi="仿宋" w:eastAsia="仿宋" w:cs="仿宋"/>
                <w:bCs/>
                <w:color w:val="auto"/>
                <w:sz w:val="24"/>
                <w:szCs w:val="24"/>
              </w:rPr>
              <w:t>区</w:t>
            </w:r>
            <w:r>
              <w:rPr>
                <w:rFonts w:ascii="仿宋" w:hAnsi="仿宋" w:eastAsia="仿宋" w:cs="仿宋"/>
                <w:bCs/>
                <w:color w:val="auto"/>
                <w:sz w:val="24"/>
                <w:szCs w:val="24"/>
              </w:rPr>
              <w:t xml:space="preserve">水务局、 </w:t>
            </w:r>
            <w:r>
              <w:rPr>
                <w:rFonts w:hint="eastAsia" w:ascii="仿宋" w:hAnsi="仿宋" w:eastAsia="仿宋" w:cs="仿宋"/>
                <w:bCs/>
                <w:color w:val="auto"/>
                <w:sz w:val="24"/>
                <w:szCs w:val="24"/>
              </w:rPr>
              <w:t>区</w:t>
            </w:r>
            <w:r>
              <w:rPr>
                <w:rFonts w:ascii="仿宋" w:hAnsi="仿宋" w:eastAsia="仿宋" w:cs="仿宋"/>
                <w:bCs/>
                <w:color w:val="auto"/>
                <w:sz w:val="24"/>
                <w:szCs w:val="24"/>
              </w:rPr>
              <w:t>卫生健康</w:t>
            </w:r>
            <w:r>
              <w:rPr>
                <w:rFonts w:hint="eastAsia" w:ascii="仿宋" w:hAnsi="仿宋" w:eastAsia="仿宋" w:cs="仿宋"/>
                <w:bCs/>
                <w:color w:val="auto"/>
                <w:sz w:val="24"/>
                <w:szCs w:val="24"/>
              </w:rPr>
              <w:t>局</w:t>
            </w:r>
            <w:r>
              <w:rPr>
                <w:rFonts w:ascii="仿宋" w:hAnsi="仿宋" w:eastAsia="仿宋" w:cs="仿宋"/>
                <w:bCs/>
                <w:color w:val="auto"/>
                <w:sz w:val="24"/>
                <w:szCs w:val="24"/>
              </w:rPr>
              <w:t>、</w:t>
            </w:r>
            <w:r>
              <w:rPr>
                <w:rFonts w:hint="eastAsia" w:ascii="仿宋" w:hAnsi="仿宋" w:eastAsia="仿宋" w:cs="仿宋"/>
                <w:bCs/>
                <w:color w:val="auto"/>
                <w:sz w:val="24"/>
                <w:szCs w:val="24"/>
              </w:rPr>
              <w:t>区应急管理局</w:t>
            </w:r>
            <w:r>
              <w:rPr>
                <w:rFonts w:ascii="仿宋" w:hAnsi="仿宋" w:eastAsia="仿宋" w:cs="仿宋"/>
                <w:bCs/>
                <w:color w:val="auto"/>
                <w:sz w:val="24"/>
                <w:szCs w:val="24"/>
              </w:rPr>
              <w:t>、深圳水务 集团</w:t>
            </w:r>
            <w:r>
              <w:rPr>
                <w:rFonts w:hint="eastAsia" w:ascii="仿宋" w:hAnsi="仿宋" w:eastAsia="仿宋" w:cs="仿宋"/>
                <w:bCs/>
                <w:color w:val="auto"/>
                <w:sz w:val="24"/>
                <w:szCs w:val="24"/>
              </w:rPr>
              <w:t>有关部门（单位）选派的应急专家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3</w:t>
            </w:r>
          </w:p>
        </w:tc>
        <w:tc>
          <w:tcPr>
            <w:tcW w:w="1905" w:type="dxa"/>
            <w:vAlign w:val="center"/>
          </w:tcPr>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抢险救援组</w:t>
            </w:r>
          </w:p>
        </w:tc>
        <w:tc>
          <w:tcPr>
            <w:tcW w:w="6115" w:type="dxa"/>
            <w:vAlign w:val="center"/>
          </w:tcPr>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由消防救援部门和主责部门牵头，统筹指挥调度各救援队伍，根据现场情况开展会商研判，研究拟定具体救援方案，并组织实施。</w:t>
            </w:r>
            <w:r>
              <w:rPr>
                <w:rFonts w:hint="eastAsia" w:ascii="仿宋" w:hAnsi="仿宋" w:eastAsia="仿宋" w:cs="仿宋"/>
                <w:bCs/>
                <w:color w:val="auto"/>
                <w:sz w:val="24"/>
                <w:szCs w:val="24"/>
              </w:rPr>
              <w:t>地震引起的</w:t>
            </w:r>
            <w:r>
              <w:rPr>
                <w:rFonts w:ascii="仿宋" w:hAnsi="仿宋" w:eastAsia="仿宋" w:cs="仿宋"/>
                <w:bCs/>
                <w:color w:val="auto"/>
                <w:sz w:val="24"/>
                <w:szCs w:val="24"/>
              </w:rPr>
              <w:t>火灾</w:t>
            </w:r>
            <w:r>
              <w:rPr>
                <w:rFonts w:hint="eastAsia" w:ascii="仿宋" w:hAnsi="仿宋" w:eastAsia="仿宋" w:cs="仿宋"/>
                <w:bCs/>
                <w:color w:val="auto"/>
                <w:sz w:val="24"/>
                <w:szCs w:val="24"/>
              </w:rPr>
              <w:t>，火灾</w:t>
            </w:r>
            <w:r>
              <w:rPr>
                <w:rFonts w:ascii="仿宋" w:hAnsi="仿宋" w:eastAsia="仿宋" w:cs="仿宋"/>
                <w:bCs/>
                <w:color w:val="auto"/>
                <w:sz w:val="24"/>
                <w:szCs w:val="24"/>
              </w:rPr>
              <w:t>现场扑救工作由消防</w:t>
            </w:r>
            <w:r>
              <w:rPr>
                <w:rFonts w:hint="eastAsia" w:ascii="仿宋" w:hAnsi="仿宋" w:eastAsia="仿宋" w:cs="仿宋"/>
                <w:bCs/>
                <w:color w:val="auto"/>
                <w:sz w:val="24"/>
                <w:szCs w:val="24"/>
              </w:rPr>
              <w:br w:type="textWrapping"/>
            </w:r>
            <w:r>
              <w:rPr>
                <w:rFonts w:ascii="仿宋" w:hAnsi="仿宋" w:eastAsia="仿宋" w:cs="仿宋"/>
                <w:bCs/>
                <w:color w:val="auto"/>
                <w:sz w:val="24"/>
                <w:szCs w:val="24"/>
              </w:rPr>
              <w:t>救援机构统一组织和指挥，火灾以外的其他灾害事故的应急救援工作由</w:t>
            </w:r>
            <w:r>
              <w:rPr>
                <w:rFonts w:hint="eastAsia" w:ascii="仿宋" w:hAnsi="仿宋" w:eastAsia="仿宋" w:cs="仿宋"/>
                <w:bCs/>
                <w:color w:val="auto"/>
                <w:sz w:val="24"/>
                <w:szCs w:val="24"/>
              </w:rPr>
              <w:t>应急指挥部</w:t>
            </w:r>
            <w:r>
              <w:rPr>
                <w:rFonts w:ascii="仿宋" w:hAnsi="仿宋" w:eastAsia="仿宋" w:cs="仿宋"/>
                <w:bCs/>
                <w:color w:val="auto"/>
                <w:sz w:val="24"/>
                <w:szCs w:val="24"/>
              </w:rPr>
              <w:t>统一领导。</w:t>
            </w:r>
            <w:r>
              <w:rPr>
                <w:rFonts w:hint="eastAsia" w:ascii="仿宋" w:hAnsi="仿宋" w:eastAsia="仿宋" w:cs="仿宋"/>
                <w:bCs/>
                <w:color w:val="auto"/>
                <w:sz w:val="24"/>
                <w:szCs w:val="24"/>
              </w:rPr>
              <w:t>各职能部门组织专业抢险队，及时修复通信、供电、供水等公共设施。</w:t>
            </w:r>
          </w:p>
        </w:tc>
        <w:tc>
          <w:tcPr>
            <w:tcW w:w="2660" w:type="dxa"/>
            <w:vAlign w:val="center"/>
          </w:tcPr>
          <w:p>
            <w:pPr>
              <w:spacing w:line="400" w:lineRule="exac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应急指挥部指定行业主管部门或</w:t>
            </w:r>
            <w:r>
              <w:rPr>
                <w:rFonts w:hint="eastAsia" w:ascii="仿宋" w:hAnsi="仿宋" w:eastAsia="仿宋" w:cs="仿宋"/>
                <w:bCs/>
                <w:color w:val="auto"/>
                <w:sz w:val="24"/>
                <w:szCs w:val="24"/>
                <w:lang w:eastAsia="zh-CN"/>
              </w:rPr>
              <w:t>深圳市龙岗区消防救援大队</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区应急管理局、市</w:t>
            </w:r>
            <w:r>
              <w:rPr>
                <w:rFonts w:ascii="仿宋" w:hAnsi="仿宋" w:eastAsia="仿宋" w:cs="仿宋"/>
                <w:bCs/>
                <w:color w:val="auto"/>
                <w:sz w:val="24"/>
                <w:szCs w:val="24"/>
              </w:rPr>
              <w:t>规划自然资源局</w:t>
            </w:r>
            <w:r>
              <w:rPr>
                <w:rFonts w:hint="eastAsia" w:ascii="仿宋" w:hAnsi="仿宋" w:eastAsia="仿宋" w:cs="仿宋"/>
                <w:bCs/>
                <w:color w:val="auto"/>
                <w:sz w:val="24"/>
                <w:szCs w:val="24"/>
              </w:rPr>
              <w:t>龙岗管理局、市交通运输局龙岗管理局、区住房建设局、区城管局、</w:t>
            </w:r>
            <w:r>
              <w:rPr>
                <w:rFonts w:hint="eastAsia" w:ascii="仿宋" w:hAnsi="仿宋" w:eastAsia="仿宋" w:cs="仿宋"/>
                <w:bCs/>
                <w:color w:val="auto"/>
                <w:sz w:val="24"/>
                <w:szCs w:val="24"/>
                <w:lang w:eastAsia="zh-CN"/>
              </w:rPr>
              <w:t>深圳市龙岗区消防救援大队</w:t>
            </w:r>
            <w:r>
              <w:rPr>
                <w:rFonts w:hint="eastAsia" w:ascii="仿宋" w:hAnsi="仿宋" w:eastAsia="仿宋" w:cs="仿宋"/>
                <w:bCs/>
                <w:color w:val="auto"/>
                <w:sz w:val="24"/>
                <w:szCs w:val="24"/>
              </w:rPr>
              <w:t>（综合应急救援支队）、有关专业应急救援队伍、供电、供水、通讯、燃气等企业、街道办事处等相关部门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4</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治安疏导组</w:t>
            </w:r>
          </w:p>
        </w:tc>
        <w:tc>
          <w:tcPr>
            <w:tcW w:w="6115" w:type="dxa"/>
            <w:vAlign w:val="center"/>
          </w:tcPr>
          <w:p>
            <w:pPr>
              <w:widowControl/>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由公安部门牵头，交通、交警等部门配合， 主要职责是在突发事件现场及周边地区设置警戒区域，疏散和撤离现场人员，维护现场秩序， 组织实施交通管制。</w:t>
            </w:r>
          </w:p>
          <w:p>
            <w:pPr>
              <w:widowControl/>
              <w:rPr>
                <w:rFonts w:ascii="仿宋" w:hAnsi="仿宋" w:eastAsia="仿宋" w:cs="仿宋"/>
                <w:bCs/>
                <w:color w:val="auto"/>
                <w:sz w:val="24"/>
                <w:szCs w:val="24"/>
              </w:rPr>
            </w:pPr>
            <w:r>
              <w:rPr>
                <w:rFonts w:ascii="仿宋" w:hAnsi="仿宋" w:eastAsia="仿宋" w:cs="仿宋"/>
                <w:bCs/>
                <w:color w:val="auto"/>
                <w:sz w:val="24"/>
                <w:szCs w:val="24"/>
              </w:rPr>
              <w:t>2、做好失联（死亡）人员身份核查工作，承担事故中失联人员身份信息的核实和登记工作，对遇难者身份进行鉴定；</w:t>
            </w:r>
          </w:p>
          <w:p>
            <w:pPr>
              <w:widowControl/>
              <w:rPr>
                <w:rFonts w:ascii="仿宋" w:hAnsi="仿宋" w:eastAsia="仿宋" w:cs="仿宋"/>
                <w:bCs/>
                <w:color w:val="auto"/>
                <w:sz w:val="24"/>
                <w:szCs w:val="24"/>
              </w:rPr>
            </w:pPr>
            <w:r>
              <w:rPr>
                <w:rFonts w:ascii="仿宋" w:hAnsi="仿宋" w:eastAsia="仿宋" w:cs="仿宋"/>
                <w:bCs/>
                <w:color w:val="auto"/>
                <w:sz w:val="24"/>
                <w:szCs w:val="24"/>
              </w:rPr>
              <w:t>3、负责组织受灾群众安全疏散。</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龙岗公安分局</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有关街道办事处、龙岗交警大队、东部高速交警大队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5</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医疗卫生组</w:t>
            </w:r>
          </w:p>
        </w:tc>
        <w:tc>
          <w:tcPr>
            <w:tcW w:w="6115" w:type="dxa"/>
          </w:tcPr>
          <w:p>
            <w:pPr>
              <w:widowControl/>
              <w:rPr>
                <w:rFonts w:ascii="仿宋" w:hAnsi="仿宋" w:eastAsia="仿宋" w:cs="仿宋"/>
                <w:bCs/>
                <w:color w:val="auto"/>
                <w:sz w:val="24"/>
                <w:szCs w:val="24"/>
              </w:rPr>
            </w:pPr>
            <w:r>
              <w:rPr>
                <w:rFonts w:ascii="仿宋" w:hAnsi="仿宋" w:eastAsia="仿宋" w:cs="仿宋"/>
                <w:bCs/>
                <w:color w:val="auto"/>
                <w:sz w:val="24"/>
                <w:szCs w:val="24"/>
              </w:rPr>
              <w:t>1由卫生健康部门牵头， 主要职责是组织救护车、 医疗人员参与救治现场伤员， 组织开展消杀防疫工作</w:t>
            </w:r>
            <w:r>
              <w:rPr>
                <w:rFonts w:hint="eastAsia" w:ascii="仿宋" w:hAnsi="仿宋" w:eastAsia="仿宋" w:cs="仿宋"/>
                <w:bCs/>
                <w:color w:val="auto"/>
                <w:sz w:val="24"/>
                <w:szCs w:val="24"/>
              </w:rPr>
              <w:t>；为受伤人员和受灾群众提供心理卫生咨询和帮助。</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区卫生健康局</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有关街道办事处、社康健康服务中心、团区委等相关单位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6</w:t>
            </w:r>
          </w:p>
        </w:tc>
        <w:tc>
          <w:tcPr>
            <w:tcW w:w="1905" w:type="dxa"/>
            <w:vAlign w:val="center"/>
          </w:tcPr>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新闻舆情组</w:t>
            </w:r>
          </w:p>
        </w:tc>
        <w:tc>
          <w:tcPr>
            <w:tcW w:w="6115" w:type="dxa"/>
            <w:vAlign w:val="center"/>
          </w:tcPr>
          <w:p>
            <w:pPr>
              <w:widowControl/>
              <w:rPr>
                <w:rFonts w:ascii="仿宋" w:hAnsi="仿宋" w:eastAsia="仿宋" w:cs="仿宋"/>
                <w:bCs/>
                <w:color w:val="auto"/>
                <w:sz w:val="24"/>
                <w:szCs w:val="24"/>
              </w:rPr>
            </w:pPr>
            <w:r>
              <w:rPr>
                <w:rFonts w:ascii="仿宋" w:hAnsi="仿宋" w:eastAsia="仿宋" w:cs="仿宋"/>
                <w:bCs/>
                <w:color w:val="auto"/>
                <w:sz w:val="24"/>
                <w:szCs w:val="24"/>
              </w:rPr>
              <w:t>1、统筹协调和组织事件舆论引导工作；2、做好事件舆情搜集、分析和报送工作；3、做好新闻应对发布和集体采访组织活动；4、做好境内外媒体沟通协调和组织联络工作</w:t>
            </w:r>
            <w:r>
              <w:rPr>
                <w:rFonts w:hint="eastAsia" w:ascii="仿宋" w:hAnsi="仿宋" w:eastAsia="仿宋" w:cs="仿宋"/>
                <w:bCs/>
                <w:color w:val="auto"/>
                <w:sz w:val="24"/>
                <w:szCs w:val="24"/>
              </w:rPr>
              <w:t>；</w:t>
            </w:r>
            <w:r>
              <w:rPr>
                <w:rFonts w:ascii="仿宋" w:hAnsi="仿宋" w:eastAsia="仿宋" w:cs="仿宋"/>
                <w:bCs/>
                <w:color w:val="auto"/>
                <w:sz w:val="24"/>
                <w:szCs w:val="24"/>
              </w:rPr>
              <w:t>5、向应急指挥部和事件相关单位、辖区政府通报舆情进展，提出应对建议。</w:t>
            </w:r>
          </w:p>
        </w:tc>
        <w:tc>
          <w:tcPr>
            <w:tcW w:w="2660" w:type="dxa"/>
            <w:vAlign w:val="center"/>
          </w:tcPr>
          <w:p>
            <w:pPr>
              <w:widowControl/>
              <w:rPr>
                <w:rFonts w:ascii="仿宋" w:hAnsi="仿宋" w:eastAsia="仿宋" w:cs="仿宋"/>
                <w:bCs/>
                <w:color w:val="auto"/>
                <w:sz w:val="24"/>
                <w:szCs w:val="24"/>
              </w:rPr>
            </w:pPr>
            <w:r>
              <w:rPr>
                <w:rFonts w:hint="eastAsia" w:ascii="仿宋" w:hAnsi="仿宋" w:eastAsia="仿宋" w:cs="仿宋"/>
                <w:bCs/>
                <w:color w:val="auto"/>
                <w:sz w:val="24"/>
                <w:szCs w:val="24"/>
              </w:rPr>
              <w:t>区</w:t>
            </w:r>
            <w:r>
              <w:rPr>
                <w:rFonts w:ascii="仿宋" w:hAnsi="仿宋" w:eastAsia="仿宋" w:cs="仿宋"/>
                <w:bCs/>
                <w:color w:val="auto"/>
                <w:sz w:val="24"/>
                <w:szCs w:val="24"/>
              </w:rPr>
              <w:t>委宣传部</w:t>
            </w:r>
            <w:r>
              <w:rPr>
                <w:rFonts w:hint="eastAsia" w:ascii="仿宋" w:hAnsi="仿宋" w:eastAsia="仿宋" w:cs="仿宋"/>
                <w:bCs/>
                <w:color w:val="auto"/>
                <w:sz w:val="24"/>
                <w:szCs w:val="24"/>
              </w:rPr>
              <w:br w:type="textWrapping"/>
            </w:r>
            <w:r>
              <w:rPr>
                <w:rFonts w:ascii="仿宋" w:hAnsi="仿宋" w:eastAsia="仿宋" w:cs="仿宋"/>
                <w:bCs/>
                <w:color w:val="auto"/>
                <w:sz w:val="24"/>
                <w:szCs w:val="24"/>
              </w:rPr>
              <w:t>（</w:t>
            </w:r>
            <w:r>
              <w:rPr>
                <w:rFonts w:hint="eastAsia" w:ascii="仿宋" w:hAnsi="仿宋" w:eastAsia="仿宋" w:cs="仿宋"/>
                <w:bCs/>
                <w:color w:val="auto"/>
                <w:sz w:val="24"/>
                <w:szCs w:val="24"/>
              </w:rPr>
              <w:t>区</w:t>
            </w:r>
            <w:r>
              <w:rPr>
                <w:rFonts w:ascii="仿宋" w:hAnsi="仿宋" w:eastAsia="仿宋" w:cs="仿宋"/>
                <w:bCs/>
                <w:color w:val="auto"/>
                <w:sz w:val="24"/>
                <w:szCs w:val="24"/>
              </w:rPr>
              <w:t>政府新闻办）</w:t>
            </w:r>
          </w:p>
          <w:p>
            <w:pPr>
              <w:spacing w:line="400" w:lineRule="exact"/>
              <w:rPr>
                <w:rFonts w:ascii="仿宋" w:hAnsi="仿宋" w:eastAsia="仿宋" w:cs="仿宋"/>
                <w:bCs/>
                <w:color w:val="auto"/>
                <w:sz w:val="24"/>
                <w:szCs w:val="24"/>
              </w:rPr>
            </w:pP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区委宣传部及区应急管理局、其他有关部门（单位）、有关街道办事处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7</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后勤保障组</w:t>
            </w:r>
          </w:p>
        </w:tc>
        <w:tc>
          <w:tcPr>
            <w:tcW w:w="611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1、开设现场指挥部，</w:t>
            </w:r>
            <w:r>
              <w:rPr>
                <w:rFonts w:ascii="仿宋" w:hAnsi="仿宋" w:eastAsia="仿宋" w:cs="仿宋"/>
                <w:bCs/>
                <w:color w:val="auto"/>
                <w:sz w:val="24"/>
                <w:szCs w:val="24"/>
              </w:rPr>
              <w:t>负责建立现场指挥人员通讯录；</w:t>
            </w:r>
            <w:r>
              <w:rPr>
                <w:rFonts w:hint="eastAsia" w:ascii="仿宋" w:hAnsi="仿宋" w:eastAsia="仿宋" w:cs="仿宋"/>
                <w:bCs/>
                <w:color w:val="auto"/>
                <w:sz w:val="24"/>
                <w:szCs w:val="24"/>
              </w:rPr>
              <w:br w:type="textWrapping"/>
            </w:r>
            <w:r>
              <w:rPr>
                <w:rFonts w:hint="eastAsia" w:ascii="仿宋" w:hAnsi="仿宋" w:eastAsia="仿宋" w:cs="仿宋"/>
                <w:bCs/>
                <w:color w:val="auto"/>
                <w:sz w:val="24"/>
                <w:szCs w:val="24"/>
              </w:rPr>
              <w:t>2、</w:t>
            </w:r>
            <w:r>
              <w:rPr>
                <w:rFonts w:ascii="仿宋" w:hAnsi="仿宋" w:eastAsia="仿宋" w:cs="仿宋"/>
                <w:bCs/>
                <w:color w:val="auto"/>
                <w:sz w:val="24"/>
                <w:szCs w:val="24"/>
              </w:rPr>
              <w:t>做好现场及周边群众的安全疏散和安置。</w:t>
            </w:r>
          </w:p>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3</w:t>
            </w:r>
            <w:r>
              <w:rPr>
                <w:rFonts w:hint="eastAsia" w:ascii="仿宋" w:hAnsi="仿宋" w:eastAsia="仿宋" w:cs="仿宋"/>
                <w:bCs/>
                <w:color w:val="auto"/>
                <w:sz w:val="24"/>
                <w:szCs w:val="24"/>
              </w:rPr>
              <w:t>、根据生产安全事故处置工作需求，及时提供资金、物资、装备、食品、供电、供水、供气和通讯等方面的后勤服务和资源保障；及时</w:t>
            </w:r>
            <w:r>
              <w:rPr>
                <w:rFonts w:hint="eastAsia" w:ascii="仿宋" w:hAnsi="仿宋" w:eastAsia="仿宋" w:cs="仿宋"/>
                <w:bCs/>
                <w:color w:val="auto"/>
                <w:sz w:val="24"/>
                <w:szCs w:val="24"/>
                <w:lang w:eastAsia="zh-CN"/>
              </w:rPr>
              <w:t>调拨</w:t>
            </w:r>
            <w:r>
              <w:rPr>
                <w:rFonts w:hint="eastAsia" w:ascii="仿宋" w:hAnsi="仿宋" w:eastAsia="仿宋" w:cs="仿宋"/>
                <w:bCs/>
                <w:color w:val="auto"/>
                <w:sz w:val="24"/>
                <w:szCs w:val="24"/>
              </w:rPr>
              <w:t>救灾物资等相关事宜。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应急指挥部指定行业主管部门</w:t>
            </w:r>
          </w:p>
        </w:tc>
        <w:tc>
          <w:tcPr>
            <w:tcW w:w="2617" w:type="dxa"/>
          </w:tcPr>
          <w:p>
            <w:pPr>
              <w:spacing w:line="400" w:lineRule="exac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区发展改革局、区工业和信息化局、区财政局、区卫生健康局、区城管局、</w:t>
            </w:r>
            <w:r>
              <w:rPr>
                <w:rFonts w:hint="eastAsia" w:ascii="仿宋_GB2312" w:eastAsia="仿宋_GB2312" w:cs="仿宋"/>
                <w:color w:val="auto"/>
                <w:szCs w:val="21"/>
              </w:rPr>
              <w:t>区国有资产监督管理局、</w:t>
            </w:r>
            <w:r>
              <w:rPr>
                <w:rFonts w:hint="eastAsia" w:ascii="仿宋" w:hAnsi="仿宋" w:eastAsia="仿宋" w:cs="仿宋"/>
                <w:bCs/>
                <w:color w:val="auto"/>
                <w:sz w:val="24"/>
                <w:szCs w:val="24"/>
              </w:rPr>
              <w:t>团区委、有关街道办等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8</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交通运输组</w:t>
            </w:r>
          </w:p>
        </w:tc>
        <w:tc>
          <w:tcPr>
            <w:tcW w:w="611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组织运送救援人员、受灾人员、救援设备、救援物资等。</w:t>
            </w:r>
            <w:r>
              <w:rPr>
                <w:rFonts w:ascii="仿宋" w:hAnsi="仿宋" w:eastAsia="仿宋" w:cs="仿宋"/>
                <w:bCs/>
                <w:color w:val="auto"/>
                <w:sz w:val="24"/>
                <w:szCs w:val="24"/>
              </w:rPr>
              <w:t xml:space="preserve"> </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市交通运输局龙岗管理局</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区有关部门（单位），</w:t>
            </w:r>
            <w:r>
              <w:rPr>
                <w:rFonts w:ascii="仿宋" w:hAnsi="仿宋" w:eastAsia="仿宋" w:cs="仿宋"/>
                <w:bCs/>
                <w:color w:val="auto"/>
                <w:sz w:val="24"/>
                <w:szCs w:val="24"/>
              </w:rPr>
              <w:t>公安、交警</w:t>
            </w:r>
            <w:r>
              <w:rPr>
                <w:rFonts w:hint="eastAsia" w:ascii="仿宋" w:hAnsi="仿宋" w:eastAsia="仿宋" w:cs="仿宋"/>
                <w:bCs/>
                <w:color w:val="auto"/>
                <w:sz w:val="24"/>
                <w:szCs w:val="24"/>
              </w:rPr>
              <w:t>、街道办、有关运输企业</w:t>
            </w:r>
            <w:r>
              <w:rPr>
                <w:rFonts w:ascii="仿宋" w:hAnsi="仿宋" w:eastAsia="仿宋" w:cs="仿宋"/>
                <w:bCs/>
                <w:color w:val="auto"/>
                <w:sz w:val="24"/>
                <w:szCs w:val="24"/>
              </w:rPr>
              <w:t>等部门配合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9</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军地联动协调组</w:t>
            </w:r>
          </w:p>
        </w:tc>
        <w:tc>
          <w:tcPr>
            <w:tcW w:w="611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做好驻龙岗部队参与应急救援的组织协调工作；做好上级领导对参与应急救援部队慰问的组织工作；做好宣传报导部队参与应急救援活动的组织工作。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区人武部</w:t>
            </w:r>
          </w:p>
        </w:tc>
        <w:tc>
          <w:tcPr>
            <w:tcW w:w="2617" w:type="dxa"/>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区委宣传部（区政府新闻办）、区民政局、区应急管理局、驻龙岗部队等军地联动单位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10</w:t>
            </w:r>
          </w:p>
        </w:tc>
        <w:tc>
          <w:tcPr>
            <w:tcW w:w="1905" w:type="dxa"/>
            <w:vAlign w:val="center"/>
          </w:tcPr>
          <w:p>
            <w:pPr>
              <w:spacing w:line="400" w:lineRule="exact"/>
              <w:rPr>
                <w:rFonts w:ascii="仿宋" w:hAnsi="仿宋" w:eastAsia="仿宋" w:cs="仿宋"/>
                <w:bCs/>
                <w:color w:val="auto"/>
                <w:sz w:val="24"/>
                <w:szCs w:val="24"/>
              </w:rPr>
            </w:pPr>
            <w:r>
              <w:rPr>
                <w:rFonts w:ascii="仿宋" w:hAnsi="仿宋" w:eastAsia="仿宋" w:cs="仿宋"/>
                <w:bCs/>
                <w:color w:val="auto"/>
                <w:sz w:val="24"/>
                <w:szCs w:val="24"/>
              </w:rPr>
              <w:t>环境保护组</w:t>
            </w:r>
          </w:p>
        </w:tc>
        <w:tc>
          <w:tcPr>
            <w:tcW w:w="6115" w:type="dxa"/>
            <w:vAlign w:val="center"/>
          </w:tcPr>
          <w:p>
            <w:pPr>
              <w:widowControl/>
              <w:rPr>
                <w:rFonts w:ascii="仿宋" w:hAnsi="仿宋" w:eastAsia="仿宋" w:cs="仿宋"/>
                <w:bCs/>
                <w:color w:val="auto"/>
                <w:sz w:val="24"/>
                <w:szCs w:val="24"/>
              </w:rPr>
            </w:pPr>
            <w:r>
              <w:rPr>
                <w:rFonts w:ascii="仿宋" w:hAnsi="仿宋" w:eastAsia="仿宋" w:cs="仿宋"/>
                <w:bCs/>
                <w:color w:val="auto"/>
                <w:sz w:val="24"/>
                <w:szCs w:val="24"/>
              </w:rPr>
              <w:t>1、查明主要污染源、污染种类以及污染影响，提出控制污染扩散的建议，及时控制污染的扩散， 消除危害，监控潜在危害。2、承担抢险救援现场的气象监测和预报服务保障工作。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市生态环境局龙岗管理局</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市生态环境局龙岗管理局、市</w:t>
            </w:r>
            <w:r>
              <w:rPr>
                <w:rFonts w:ascii="仿宋" w:hAnsi="仿宋" w:eastAsia="仿宋" w:cs="仿宋"/>
                <w:bCs/>
                <w:color w:val="auto"/>
                <w:sz w:val="24"/>
                <w:szCs w:val="24"/>
              </w:rPr>
              <w:t>规划和自然资源局</w:t>
            </w:r>
            <w:r>
              <w:rPr>
                <w:rFonts w:hint="eastAsia" w:ascii="仿宋" w:hAnsi="仿宋" w:eastAsia="仿宋" w:cs="仿宋"/>
                <w:bCs/>
                <w:color w:val="auto"/>
                <w:sz w:val="24"/>
                <w:szCs w:val="24"/>
              </w:rPr>
              <w:t>龙岗管理局、气象部门等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11</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涉外（港澳台）联络组</w:t>
            </w:r>
          </w:p>
        </w:tc>
        <w:tc>
          <w:tcPr>
            <w:tcW w:w="611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地震涉及港澳台或外籍人员伤亡、失踪、被困，或者可能影响到港澳台或境外的，及时通报香港、澳门、台湾地区有关机构或有关国家，协商或处理相关事宜。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区委统战部</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区有关部门（单位）、有关街道办、龙岗公安分局、龙岗海关、沙湾海关、布吉海关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2</w:t>
            </w:r>
          </w:p>
        </w:tc>
        <w:tc>
          <w:tcPr>
            <w:tcW w:w="1905"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善后处置组</w:t>
            </w:r>
          </w:p>
        </w:tc>
        <w:tc>
          <w:tcPr>
            <w:tcW w:w="6115" w:type="dxa"/>
            <w:vAlign w:val="center"/>
          </w:tcPr>
          <w:p>
            <w:pPr>
              <w:pStyle w:val="38"/>
              <w:tabs>
                <w:tab w:val="left" w:pos="327"/>
              </w:tabs>
              <w:spacing w:before="1" w:line="268" w:lineRule="auto"/>
              <w:ind w:right="71"/>
              <w:jc w:val="both"/>
              <w:rPr>
                <w:rFonts w:ascii="仿宋" w:hAnsi="仿宋" w:eastAsia="仿宋" w:cs="仿宋"/>
                <w:bCs/>
                <w:color w:val="auto"/>
                <w:kern w:val="2"/>
                <w:sz w:val="24"/>
                <w:szCs w:val="24"/>
                <w:lang w:val="en-US" w:bidi="ar-SA"/>
              </w:rPr>
            </w:pPr>
            <w:r>
              <w:rPr>
                <w:rFonts w:ascii="仿宋" w:hAnsi="仿宋" w:eastAsia="仿宋" w:cs="仿宋"/>
                <w:bCs/>
                <w:color w:val="auto"/>
                <w:kern w:val="2"/>
                <w:sz w:val="24"/>
                <w:szCs w:val="24"/>
                <w:lang w:val="en-US" w:bidi="ar-SA"/>
              </w:rPr>
              <w:t>1、做好善后处置的总协调工作；2、做好善后抢险救援人员后勤（就餐住宿、会务安排、生活设施、人员安排和资金调配等）保障工作；3、做好受灾群众、死难（失联）人员亲属信息登记、食宿接待和安抚疏导等善后工作；4、做好遇难者遗体的保存、处理和殡葬服务等善后工作；5、做好社会力量动员和救灾物</w:t>
            </w:r>
            <w:r>
              <w:rPr>
                <w:rFonts w:hint="eastAsia" w:ascii="仿宋" w:hAnsi="仿宋" w:eastAsia="仿宋" w:cs="仿宋"/>
                <w:bCs/>
                <w:color w:val="auto"/>
                <w:kern w:val="2"/>
                <w:sz w:val="24"/>
                <w:szCs w:val="24"/>
                <w:lang w:val="en-US" w:eastAsia="zh-CN" w:bidi="ar-SA"/>
              </w:rPr>
              <w:t>资</w:t>
            </w:r>
            <w:r>
              <w:rPr>
                <w:rFonts w:ascii="仿宋" w:hAnsi="仿宋" w:eastAsia="仿宋" w:cs="仿宋"/>
                <w:bCs/>
                <w:color w:val="auto"/>
                <w:kern w:val="2"/>
                <w:sz w:val="24"/>
                <w:szCs w:val="24"/>
                <w:lang w:val="en-US" w:bidi="ar-SA"/>
              </w:rPr>
              <w:t>等救助组织工作；6、做好灾后恢复重建等工作</w:t>
            </w:r>
            <w:r>
              <w:rPr>
                <w:rFonts w:hint="eastAsia" w:ascii="仿宋" w:hAnsi="仿宋" w:eastAsia="仿宋" w:cs="仿宋"/>
                <w:bCs/>
                <w:color w:val="auto"/>
                <w:kern w:val="2"/>
                <w:sz w:val="24"/>
                <w:szCs w:val="24"/>
                <w:lang w:val="en-US" w:bidi="ar-SA"/>
              </w:rPr>
              <w:t>。</w:t>
            </w:r>
            <w:r>
              <w:rPr>
                <w:rFonts w:ascii="仿宋" w:hAnsi="仿宋" w:eastAsia="仿宋" w:cs="仿宋"/>
                <w:bCs/>
                <w:color w:val="auto"/>
                <w:kern w:val="2"/>
                <w:sz w:val="24"/>
                <w:szCs w:val="24"/>
                <w:lang w:val="en-US" w:bidi="ar-SA"/>
              </w:rPr>
              <w:t>7</w:t>
            </w:r>
            <w:r>
              <w:rPr>
                <w:rFonts w:hint="eastAsia" w:ascii="仿宋" w:hAnsi="仿宋" w:eastAsia="仿宋" w:cs="仿宋"/>
                <w:bCs/>
                <w:color w:val="auto"/>
                <w:kern w:val="2"/>
                <w:sz w:val="24"/>
                <w:szCs w:val="24"/>
                <w:lang w:val="en-US" w:bidi="ar-SA"/>
              </w:rPr>
              <w:t>、</w:t>
            </w:r>
            <w:r>
              <w:rPr>
                <w:rFonts w:ascii="仿宋" w:hAnsi="仿宋" w:eastAsia="仿宋" w:cs="仿宋"/>
                <w:bCs/>
                <w:color w:val="auto"/>
                <w:kern w:val="2"/>
                <w:sz w:val="24"/>
                <w:szCs w:val="24"/>
                <w:lang w:val="en-US" w:bidi="ar-SA"/>
              </w:rPr>
              <w:t>街道开放全部应急避难场所供群众避险避灾，并做好受灾群众基本生活保障。8</w:t>
            </w:r>
            <w:r>
              <w:rPr>
                <w:rFonts w:hint="eastAsia" w:ascii="仿宋" w:hAnsi="仿宋" w:eastAsia="仿宋" w:cs="仿宋"/>
                <w:bCs/>
                <w:color w:val="auto"/>
                <w:kern w:val="2"/>
                <w:sz w:val="24"/>
                <w:szCs w:val="24"/>
                <w:lang w:val="en-US" w:bidi="ar-SA"/>
              </w:rPr>
              <w:t>、及时汇报</w:t>
            </w:r>
            <w:r>
              <w:rPr>
                <w:rFonts w:hint="eastAsia" w:ascii="仿宋" w:hAnsi="仿宋" w:eastAsia="仿宋" w:cs="仿宋"/>
                <w:bCs/>
                <w:color w:val="auto"/>
                <w:kern w:val="2"/>
                <w:sz w:val="24"/>
                <w:szCs w:val="24"/>
                <w:lang w:val="en-US" w:eastAsia="zh-CN" w:bidi="ar-SA"/>
              </w:rPr>
              <w:t>受灾群众</w:t>
            </w:r>
            <w:r>
              <w:rPr>
                <w:rFonts w:hint="eastAsia" w:ascii="仿宋" w:hAnsi="仿宋" w:eastAsia="仿宋" w:cs="仿宋"/>
                <w:bCs/>
                <w:color w:val="auto"/>
                <w:kern w:val="2"/>
                <w:sz w:val="24"/>
                <w:szCs w:val="24"/>
                <w:lang w:val="en-US" w:bidi="ar-SA"/>
              </w:rPr>
              <w:t>安置与生活保障情况，申请相关职能部门及时</w:t>
            </w:r>
            <w:r>
              <w:rPr>
                <w:rFonts w:hint="eastAsia" w:ascii="仿宋" w:hAnsi="仿宋" w:eastAsia="仿宋" w:cs="仿宋"/>
                <w:bCs/>
                <w:color w:val="auto"/>
                <w:kern w:val="2"/>
                <w:sz w:val="24"/>
                <w:szCs w:val="24"/>
                <w:lang w:val="en-US" w:eastAsia="zh-CN" w:bidi="ar-SA"/>
              </w:rPr>
              <w:t>调拨</w:t>
            </w:r>
            <w:r>
              <w:rPr>
                <w:rFonts w:hint="eastAsia" w:ascii="仿宋" w:hAnsi="仿宋" w:eastAsia="仿宋" w:cs="仿宋"/>
                <w:bCs/>
                <w:color w:val="auto"/>
                <w:kern w:val="2"/>
                <w:sz w:val="24"/>
                <w:szCs w:val="24"/>
                <w:lang w:val="en-US" w:bidi="ar-SA"/>
              </w:rPr>
              <w:t>救灾物资等相关事宜。</w:t>
            </w:r>
          </w:p>
        </w:tc>
        <w:tc>
          <w:tcPr>
            <w:tcW w:w="2660"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事发街道办事处</w:t>
            </w:r>
          </w:p>
        </w:tc>
        <w:tc>
          <w:tcPr>
            <w:tcW w:w="2617" w:type="dxa"/>
            <w:vAlign w:val="center"/>
          </w:tcPr>
          <w:p>
            <w:pPr>
              <w:spacing w:line="400" w:lineRule="exact"/>
              <w:rPr>
                <w:rFonts w:ascii="仿宋" w:hAnsi="仿宋" w:eastAsia="仿宋" w:cs="仿宋"/>
                <w:bCs/>
                <w:color w:val="auto"/>
                <w:sz w:val="24"/>
                <w:szCs w:val="24"/>
              </w:rPr>
            </w:pPr>
            <w:r>
              <w:rPr>
                <w:rFonts w:hint="eastAsia" w:ascii="仿宋" w:hAnsi="仿宋" w:eastAsia="仿宋" w:cs="仿宋"/>
                <w:bCs/>
                <w:color w:val="auto"/>
                <w:sz w:val="24"/>
                <w:szCs w:val="24"/>
              </w:rPr>
              <w:t>区应急管理局、区发展改革局、区工业和信息化局、龙岗公安分局、区应急管理局、总工会、区民政局、</w:t>
            </w:r>
            <w:r>
              <w:rPr>
                <w:rFonts w:hint="eastAsia" w:ascii="仿宋" w:hAnsi="仿宋" w:eastAsia="仿宋" w:cs="仿宋"/>
                <w:bCs/>
                <w:color w:val="auto"/>
                <w:sz w:val="24"/>
                <w:szCs w:val="24"/>
                <w:lang w:val="en-US" w:eastAsia="zh-CN"/>
              </w:rPr>
              <w:t>龙岗社保分局、</w:t>
            </w:r>
            <w:r>
              <w:rPr>
                <w:rFonts w:hint="eastAsia" w:ascii="仿宋" w:hAnsi="仿宋" w:eastAsia="仿宋" w:cs="仿宋"/>
                <w:bCs/>
                <w:color w:val="auto"/>
                <w:sz w:val="24"/>
                <w:szCs w:val="24"/>
              </w:rPr>
              <w:t>司法局、团区委等有关部门（单位）。</w:t>
            </w:r>
          </w:p>
        </w:tc>
      </w:tr>
    </w:tbl>
    <w:p>
      <w:pPr>
        <w:rPr>
          <w:color w:val="auto"/>
        </w:rPr>
        <w:sectPr>
          <w:pgSz w:w="16838" w:h="11906" w:orient="landscape"/>
          <w:pgMar w:top="1797" w:right="1440" w:bottom="1797" w:left="1440" w:header="851" w:footer="992" w:gutter="0"/>
          <w:cols w:space="425" w:num="1"/>
          <w:docGrid w:type="linesAndChars" w:linePitch="312" w:charSpace="0"/>
        </w:sectPr>
      </w:pPr>
    </w:p>
    <w:p>
      <w:pPr>
        <w:jc w:val="right"/>
        <w:rPr>
          <w:rFonts w:ascii="方正小标宋简体" w:hAnsi="微软雅黑" w:eastAsia="方正小标宋简体"/>
          <w:color w:val="auto"/>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540323"/>
    </w:sdtPr>
    <w:sdtContent>
      <w:p>
        <w:pPr>
          <w:pStyle w:val="9"/>
          <w:jc w:val="center"/>
        </w:pPr>
        <w:r>
          <w:fldChar w:fldCharType="begin"/>
        </w:r>
        <w:r>
          <w:instrText xml:space="preserve">PAGE   \* MERGEFORMAT</w:instrText>
        </w:r>
        <w:r>
          <w:fldChar w:fldCharType="separate"/>
        </w:r>
        <w:r>
          <w:rPr>
            <w:lang w:val="zh-CN"/>
          </w:rPr>
          <w:t>6</w:t>
        </w:r>
        <w:r>
          <w:fldChar w:fldCharType="end"/>
        </w:r>
      </w:p>
    </w:sdtContent>
  </w:sdt>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7"/>
    <w:rsid w:val="00001999"/>
    <w:rsid w:val="00035993"/>
    <w:rsid w:val="00036061"/>
    <w:rsid w:val="000456A2"/>
    <w:rsid w:val="00052F6D"/>
    <w:rsid w:val="00062BA7"/>
    <w:rsid w:val="00085314"/>
    <w:rsid w:val="000A71CB"/>
    <w:rsid w:val="000C5611"/>
    <w:rsid w:val="000E15A1"/>
    <w:rsid w:val="000F1FFD"/>
    <w:rsid w:val="000F756A"/>
    <w:rsid w:val="00120187"/>
    <w:rsid w:val="00121D70"/>
    <w:rsid w:val="00123FC6"/>
    <w:rsid w:val="0012667B"/>
    <w:rsid w:val="00143A7F"/>
    <w:rsid w:val="00157B22"/>
    <w:rsid w:val="00165F2E"/>
    <w:rsid w:val="00172349"/>
    <w:rsid w:val="00185496"/>
    <w:rsid w:val="00191962"/>
    <w:rsid w:val="00195363"/>
    <w:rsid w:val="001973AE"/>
    <w:rsid w:val="001A31AB"/>
    <w:rsid w:val="001A5D56"/>
    <w:rsid w:val="001C18D5"/>
    <w:rsid w:val="001D6E65"/>
    <w:rsid w:val="001F3714"/>
    <w:rsid w:val="002034CB"/>
    <w:rsid w:val="00204C37"/>
    <w:rsid w:val="00215D7A"/>
    <w:rsid w:val="00216F99"/>
    <w:rsid w:val="0022351B"/>
    <w:rsid w:val="00242286"/>
    <w:rsid w:val="00244E80"/>
    <w:rsid w:val="0024590D"/>
    <w:rsid w:val="00246900"/>
    <w:rsid w:val="002512B6"/>
    <w:rsid w:val="00252470"/>
    <w:rsid w:val="00262832"/>
    <w:rsid w:val="00265BB2"/>
    <w:rsid w:val="002678E8"/>
    <w:rsid w:val="002A5456"/>
    <w:rsid w:val="002A78EA"/>
    <w:rsid w:val="002B1BCF"/>
    <w:rsid w:val="002B2EAC"/>
    <w:rsid w:val="002C3972"/>
    <w:rsid w:val="002C3F36"/>
    <w:rsid w:val="002C4275"/>
    <w:rsid w:val="002C75BE"/>
    <w:rsid w:val="002E73DC"/>
    <w:rsid w:val="002F73BB"/>
    <w:rsid w:val="0032571D"/>
    <w:rsid w:val="00346357"/>
    <w:rsid w:val="003705B2"/>
    <w:rsid w:val="00377684"/>
    <w:rsid w:val="00384D99"/>
    <w:rsid w:val="00394310"/>
    <w:rsid w:val="003A4D64"/>
    <w:rsid w:val="003A5E96"/>
    <w:rsid w:val="003C1F31"/>
    <w:rsid w:val="003C535A"/>
    <w:rsid w:val="003C6AD9"/>
    <w:rsid w:val="003F0F47"/>
    <w:rsid w:val="003F693D"/>
    <w:rsid w:val="00421D75"/>
    <w:rsid w:val="00422075"/>
    <w:rsid w:val="00426638"/>
    <w:rsid w:val="0043359C"/>
    <w:rsid w:val="0048185D"/>
    <w:rsid w:val="004948EC"/>
    <w:rsid w:val="004E313F"/>
    <w:rsid w:val="004E5588"/>
    <w:rsid w:val="004E5B62"/>
    <w:rsid w:val="004F2558"/>
    <w:rsid w:val="004F4A3D"/>
    <w:rsid w:val="004F7587"/>
    <w:rsid w:val="00505CFD"/>
    <w:rsid w:val="00530E99"/>
    <w:rsid w:val="00540EFA"/>
    <w:rsid w:val="005446B6"/>
    <w:rsid w:val="00547AF7"/>
    <w:rsid w:val="00547E0E"/>
    <w:rsid w:val="00571438"/>
    <w:rsid w:val="00594AF0"/>
    <w:rsid w:val="00595EA4"/>
    <w:rsid w:val="00596037"/>
    <w:rsid w:val="005A45D0"/>
    <w:rsid w:val="005C3683"/>
    <w:rsid w:val="005D6D66"/>
    <w:rsid w:val="005D6E69"/>
    <w:rsid w:val="005E317E"/>
    <w:rsid w:val="005E4B89"/>
    <w:rsid w:val="005F5232"/>
    <w:rsid w:val="00604EDE"/>
    <w:rsid w:val="00623C4D"/>
    <w:rsid w:val="00624B53"/>
    <w:rsid w:val="00635F64"/>
    <w:rsid w:val="00650354"/>
    <w:rsid w:val="00662D46"/>
    <w:rsid w:val="00666686"/>
    <w:rsid w:val="00673EA8"/>
    <w:rsid w:val="00692263"/>
    <w:rsid w:val="00693D9E"/>
    <w:rsid w:val="006A0B2D"/>
    <w:rsid w:val="006A6FAA"/>
    <w:rsid w:val="006B02F2"/>
    <w:rsid w:val="006C269F"/>
    <w:rsid w:val="006E39FE"/>
    <w:rsid w:val="006E4CB2"/>
    <w:rsid w:val="006F0553"/>
    <w:rsid w:val="006F7536"/>
    <w:rsid w:val="007045DB"/>
    <w:rsid w:val="00711782"/>
    <w:rsid w:val="0074596C"/>
    <w:rsid w:val="007569DA"/>
    <w:rsid w:val="00765523"/>
    <w:rsid w:val="00772A89"/>
    <w:rsid w:val="00777BB5"/>
    <w:rsid w:val="007926B9"/>
    <w:rsid w:val="007A4C05"/>
    <w:rsid w:val="007B1C32"/>
    <w:rsid w:val="007E28AD"/>
    <w:rsid w:val="007E7C57"/>
    <w:rsid w:val="008540EE"/>
    <w:rsid w:val="00880355"/>
    <w:rsid w:val="00884437"/>
    <w:rsid w:val="00885564"/>
    <w:rsid w:val="008A0F36"/>
    <w:rsid w:val="008A1396"/>
    <w:rsid w:val="008B175A"/>
    <w:rsid w:val="008C612A"/>
    <w:rsid w:val="008C7F67"/>
    <w:rsid w:val="008D1387"/>
    <w:rsid w:val="008D4161"/>
    <w:rsid w:val="00913563"/>
    <w:rsid w:val="009302A2"/>
    <w:rsid w:val="00931131"/>
    <w:rsid w:val="00934AD2"/>
    <w:rsid w:val="00942995"/>
    <w:rsid w:val="00950527"/>
    <w:rsid w:val="009531A5"/>
    <w:rsid w:val="00977C6E"/>
    <w:rsid w:val="00977F5E"/>
    <w:rsid w:val="009947B3"/>
    <w:rsid w:val="009C2238"/>
    <w:rsid w:val="009C2F99"/>
    <w:rsid w:val="009E0009"/>
    <w:rsid w:val="009F1C6A"/>
    <w:rsid w:val="00A16E32"/>
    <w:rsid w:val="00A343F6"/>
    <w:rsid w:val="00A65173"/>
    <w:rsid w:val="00A75EB8"/>
    <w:rsid w:val="00A8120C"/>
    <w:rsid w:val="00A94981"/>
    <w:rsid w:val="00A97335"/>
    <w:rsid w:val="00AB38D1"/>
    <w:rsid w:val="00AB4A12"/>
    <w:rsid w:val="00AD59F0"/>
    <w:rsid w:val="00AD5B64"/>
    <w:rsid w:val="00B45CC3"/>
    <w:rsid w:val="00B62FCE"/>
    <w:rsid w:val="00B66842"/>
    <w:rsid w:val="00B71E23"/>
    <w:rsid w:val="00B74FBC"/>
    <w:rsid w:val="00B84B13"/>
    <w:rsid w:val="00B90471"/>
    <w:rsid w:val="00B96B78"/>
    <w:rsid w:val="00BB4F97"/>
    <w:rsid w:val="00BE660A"/>
    <w:rsid w:val="00C153EA"/>
    <w:rsid w:val="00C21DC0"/>
    <w:rsid w:val="00C415D8"/>
    <w:rsid w:val="00C42E45"/>
    <w:rsid w:val="00C44776"/>
    <w:rsid w:val="00C50C63"/>
    <w:rsid w:val="00C57E61"/>
    <w:rsid w:val="00C701EB"/>
    <w:rsid w:val="00C75E15"/>
    <w:rsid w:val="00C81325"/>
    <w:rsid w:val="00C914DD"/>
    <w:rsid w:val="00CB0956"/>
    <w:rsid w:val="00CB55CB"/>
    <w:rsid w:val="00CB608B"/>
    <w:rsid w:val="00CD07E7"/>
    <w:rsid w:val="00CD25F4"/>
    <w:rsid w:val="00CD3D5E"/>
    <w:rsid w:val="00CE6FAB"/>
    <w:rsid w:val="00CF431F"/>
    <w:rsid w:val="00D22F9C"/>
    <w:rsid w:val="00D32029"/>
    <w:rsid w:val="00D6363C"/>
    <w:rsid w:val="00D80DA8"/>
    <w:rsid w:val="00D924FC"/>
    <w:rsid w:val="00DB4565"/>
    <w:rsid w:val="00DC5716"/>
    <w:rsid w:val="00DD76CE"/>
    <w:rsid w:val="00DE4050"/>
    <w:rsid w:val="00DF7D9C"/>
    <w:rsid w:val="00E67BB7"/>
    <w:rsid w:val="00EA1D18"/>
    <w:rsid w:val="00EC2777"/>
    <w:rsid w:val="00F22550"/>
    <w:rsid w:val="00F26F85"/>
    <w:rsid w:val="00F34390"/>
    <w:rsid w:val="00F41A19"/>
    <w:rsid w:val="00F54787"/>
    <w:rsid w:val="00F66AD2"/>
    <w:rsid w:val="00F75DC3"/>
    <w:rsid w:val="00F83A64"/>
    <w:rsid w:val="00FA46BD"/>
    <w:rsid w:val="00FA6169"/>
    <w:rsid w:val="00FC22BE"/>
    <w:rsid w:val="00FC2622"/>
    <w:rsid w:val="00FD06BE"/>
    <w:rsid w:val="00FD1C0D"/>
    <w:rsid w:val="00FF20FC"/>
    <w:rsid w:val="00FF4CC1"/>
    <w:rsid w:val="07781A3C"/>
    <w:rsid w:val="0B470A7A"/>
    <w:rsid w:val="0EF172F1"/>
    <w:rsid w:val="1574650F"/>
    <w:rsid w:val="15C42D02"/>
    <w:rsid w:val="17D11B61"/>
    <w:rsid w:val="1E7D19B4"/>
    <w:rsid w:val="228E1A63"/>
    <w:rsid w:val="25696952"/>
    <w:rsid w:val="2D484976"/>
    <w:rsid w:val="30AB39B0"/>
    <w:rsid w:val="31F37012"/>
    <w:rsid w:val="333514DD"/>
    <w:rsid w:val="33C772C1"/>
    <w:rsid w:val="3A1F5DEE"/>
    <w:rsid w:val="3A5A496D"/>
    <w:rsid w:val="41C8020C"/>
    <w:rsid w:val="42084044"/>
    <w:rsid w:val="428E6A67"/>
    <w:rsid w:val="43B876FA"/>
    <w:rsid w:val="4510026D"/>
    <w:rsid w:val="4D6F6C1C"/>
    <w:rsid w:val="50242444"/>
    <w:rsid w:val="516922DE"/>
    <w:rsid w:val="55B73D95"/>
    <w:rsid w:val="57605302"/>
    <w:rsid w:val="5982099F"/>
    <w:rsid w:val="5A5F1777"/>
    <w:rsid w:val="5B0C41F0"/>
    <w:rsid w:val="60EF5B5C"/>
    <w:rsid w:val="68831926"/>
    <w:rsid w:val="692854AB"/>
    <w:rsid w:val="6A3556B7"/>
    <w:rsid w:val="6AC03663"/>
    <w:rsid w:val="6E9A6622"/>
    <w:rsid w:val="758B5EEC"/>
    <w:rsid w:val="78C311E8"/>
    <w:rsid w:val="7C554C8F"/>
    <w:rsid w:val="7DD8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29"/>
    <w:qFormat/>
    <w:uiPriority w:val="0"/>
    <w:pPr>
      <w:spacing w:after="120"/>
    </w:pPr>
    <w:rPr>
      <w:rFonts w:ascii="Times New Roman" w:hAnsi="Times New Roman" w:eastAsia="宋体" w:cs="Times New Roman"/>
      <w:szCs w:val="24"/>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Date"/>
    <w:basedOn w:val="1"/>
    <w:next w:val="1"/>
    <w:link w:val="33"/>
    <w:unhideWhenUsed/>
    <w:qFormat/>
    <w:uiPriority w:val="99"/>
    <w:pPr>
      <w:ind w:left="100" w:leftChars="2500"/>
    </w:pPr>
  </w:style>
  <w:style w:type="paragraph" w:styleId="8">
    <w:name w:val="Balloon Text"/>
    <w:basedOn w:val="1"/>
    <w:link w:val="34"/>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Normal (Web)"/>
    <w:basedOn w:val="1"/>
    <w:link w:val="35"/>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qFormat/>
    <w:uiPriority w:val="20"/>
    <w:rPr>
      <w:i/>
      <w:iCs/>
    </w:rPr>
  </w:style>
  <w:style w:type="character" w:styleId="18">
    <w:name w:val="Hyperlink"/>
    <w:basedOn w:val="14"/>
    <w:unhideWhenUsed/>
    <w:qFormat/>
    <w:uiPriority w:val="99"/>
    <w:rPr>
      <w:color w:val="0563C1" w:themeColor="hyperlink"/>
      <w:u w:val="single"/>
      <w14:textFill>
        <w14:solidFill>
          <w14:schemeClr w14:val="hlink"/>
        </w14:solidFill>
      </w14:textFill>
    </w:rPr>
  </w:style>
  <w:style w:type="character" w:styleId="19">
    <w:name w:val="annotation reference"/>
    <w:basedOn w:val="14"/>
    <w:unhideWhenUsed/>
    <w:qFormat/>
    <w:uiPriority w:val="99"/>
    <w:rPr>
      <w:sz w:val="21"/>
      <w:szCs w:val="21"/>
    </w:rPr>
  </w:style>
  <w:style w:type="character" w:customStyle="1" w:styleId="21">
    <w:name w:val="页眉 Char"/>
    <w:basedOn w:val="14"/>
    <w:link w:val="10"/>
    <w:qFormat/>
    <w:uiPriority w:val="99"/>
    <w:rPr>
      <w:sz w:val="18"/>
      <w:szCs w:val="18"/>
    </w:rPr>
  </w:style>
  <w:style w:type="character" w:customStyle="1" w:styleId="22">
    <w:name w:val="页脚 Char"/>
    <w:basedOn w:val="14"/>
    <w:link w:val="9"/>
    <w:qFormat/>
    <w:uiPriority w:val="99"/>
    <w:rPr>
      <w:sz w:val="18"/>
      <w:szCs w:val="18"/>
    </w:rPr>
  </w:style>
  <w:style w:type="paragraph" w:customStyle="1" w:styleId="23">
    <w:name w:val="ming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Char"/>
    <w:basedOn w:val="14"/>
    <w:link w:val="3"/>
    <w:qFormat/>
    <w:uiPriority w:val="9"/>
    <w:rPr>
      <w:rFonts w:ascii="宋体" w:hAnsi="宋体" w:eastAsia="宋体" w:cs="宋体"/>
      <w:b/>
      <w:bCs/>
      <w:kern w:val="0"/>
      <w:sz w:val="36"/>
      <w:szCs w:val="36"/>
    </w:rPr>
  </w:style>
  <w:style w:type="paragraph" w:customStyle="1" w:styleId="25">
    <w:name w:val="List Paragraph"/>
    <w:basedOn w:val="1"/>
    <w:qFormat/>
    <w:uiPriority w:val="34"/>
    <w:pPr>
      <w:ind w:firstLine="420" w:firstLineChars="200"/>
    </w:pPr>
  </w:style>
  <w:style w:type="paragraph" w:customStyle="1" w:styleId="26">
    <w:name w:val="Char1"/>
    <w:basedOn w:val="1"/>
    <w:qFormat/>
    <w:uiPriority w:val="0"/>
    <w:rPr>
      <w:rFonts w:ascii="Tahoma" w:hAnsi="Tahoma" w:eastAsia="仿宋_GB2312" w:cs="Times New Roman"/>
      <w:sz w:val="24"/>
      <w:szCs w:val="20"/>
    </w:rPr>
  </w:style>
  <w:style w:type="character" w:customStyle="1" w:styleId="27">
    <w:name w:val="标题 1 Char"/>
    <w:basedOn w:val="14"/>
    <w:link w:val="2"/>
    <w:qFormat/>
    <w:uiPriority w:val="9"/>
    <w:rPr>
      <w:b/>
      <w:bCs/>
      <w:kern w:val="44"/>
      <w:sz w:val="44"/>
      <w:szCs w:val="44"/>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正文文本 Char"/>
    <w:link w:val="5"/>
    <w:qFormat/>
    <w:uiPriority w:val="0"/>
    <w:rPr>
      <w:rFonts w:ascii="Times New Roman" w:hAnsi="Times New Roman" w:eastAsia="宋体" w:cs="Times New Roman"/>
      <w:szCs w:val="24"/>
    </w:rPr>
  </w:style>
  <w:style w:type="character" w:customStyle="1" w:styleId="30">
    <w:name w:val="正文文本 Char1"/>
    <w:basedOn w:val="14"/>
    <w:semiHidden/>
    <w:qFormat/>
    <w:uiPriority w:val="99"/>
  </w:style>
  <w:style w:type="paragraph" w:customStyle="1" w:styleId="31">
    <w:name w:val="公文正文"/>
    <w:basedOn w:val="1"/>
    <w:qFormat/>
    <w:uiPriority w:val="0"/>
    <w:pPr>
      <w:widowControl/>
      <w:spacing w:line="480" w:lineRule="atLeast"/>
      <w:ind w:firstLine="600"/>
    </w:pPr>
    <w:rPr>
      <w:rFonts w:ascii="Times New Roman" w:hAnsi="Times New Roman" w:eastAsia="宋体" w:cs="Times New Roman"/>
      <w:snapToGrid w:val="0"/>
      <w:kern w:val="24"/>
      <w:sz w:val="30"/>
      <w:szCs w:val="20"/>
    </w:rPr>
  </w:style>
  <w:style w:type="character" w:customStyle="1" w:styleId="32">
    <w:name w:val="fontstyle01"/>
    <w:basedOn w:val="14"/>
    <w:qFormat/>
    <w:uiPriority w:val="0"/>
    <w:rPr>
      <w:rFonts w:hint="eastAsia" w:ascii="仿宋_GB2312" w:eastAsia="仿宋_GB2312"/>
      <w:color w:val="000000"/>
      <w:sz w:val="32"/>
      <w:szCs w:val="32"/>
    </w:rPr>
  </w:style>
  <w:style w:type="character" w:customStyle="1" w:styleId="33">
    <w:name w:val="日期 Char"/>
    <w:basedOn w:val="14"/>
    <w:link w:val="7"/>
    <w:semiHidden/>
    <w:qFormat/>
    <w:uiPriority w:val="99"/>
  </w:style>
  <w:style w:type="character" w:customStyle="1" w:styleId="34">
    <w:name w:val="批注框文本 Char"/>
    <w:basedOn w:val="14"/>
    <w:link w:val="8"/>
    <w:semiHidden/>
    <w:qFormat/>
    <w:uiPriority w:val="99"/>
    <w:rPr>
      <w:kern w:val="2"/>
      <w:sz w:val="18"/>
      <w:szCs w:val="18"/>
    </w:rPr>
  </w:style>
  <w:style w:type="character" w:customStyle="1" w:styleId="35">
    <w:name w:val="普通(网站) Char"/>
    <w:link w:val="13"/>
    <w:qFormat/>
    <w:uiPriority w:val="0"/>
    <w:rPr>
      <w:rFonts w:ascii="宋体" w:hAnsi="宋体" w:eastAsia="宋体" w:cs="宋体"/>
      <w:sz w:val="24"/>
      <w:szCs w:val="24"/>
    </w:rPr>
  </w:style>
  <w:style w:type="character" w:customStyle="1" w:styleId="36">
    <w:name w:val="fontstyle21"/>
    <w:basedOn w:val="14"/>
    <w:qFormat/>
    <w:uiPriority w:val="0"/>
    <w:rPr>
      <w:rFonts w:hint="eastAsia" w:ascii="宋体" w:hAnsi="宋体" w:eastAsia="宋体"/>
      <w:color w:val="000000"/>
      <w:sz w:val="28"/>
      <w:szCs w:val="28"/>
    </w:rPr>
  </w:style>
  <w:style w:type="character" w:customStyle="1" w:styleId="37">
    <w:name w:val="fontstyle11"/>
    <w:basedOn w:val="14"/>
    <w:qFormat/>
    <w:uiPriority w:val="0"/>
    <w:rPr>
      <w:rFonts w:hint="eastAsia" w:ascii="宋体" w:hAnsi="宋体" w:eastAsia="宋体"/>
      <w:color w:val="000000"/>
      <w:sz w:val="28"/>
      <w:szCs w:val="28"/>
    </w:rPr>
  </w:style>
  <w:style w:type="paragraph" w:customStyle="1" w:styleId="38">
    <w:name w:val="Table Paragraph"/>
    <w:basedOn w:val="1"/>
    <w:qFormat/>
    <w:uiPriority w:val="1"/>
    <w:pPr>
      <w:autoSpaceDE w:val="0"/>
      <w:autoSpaceDN w:val="0"/>
      <w:jc w:val="left"/>
    </w:pPr>
    <w:rPr>
      <w:rFonts w:ascii="仿宋_GB2312" w:hAnsi="仿宋_GB2312" w:eastAsia="仿宋_GB2312" w:cs="仿宋_GB2312"/>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4208A-1A63-4CD5-AE4B-2BB9C6D8E647}">
  <ds:schemaRefs/>
</ds:datastoreItem>
</file>

<file path=docProps/app.xml><?xml version="1.0" encoding="utf-8"?>
<Properties xmlns="http://schemas.openxmlformats.org/officeDocument/2006/extended-properties" xmlns:vt="http://schemas.openxmlformats.org/officeDocument/2006/docPropsVTypes">
  <Template>Normal</Template>
  <Pages>32</Pages>
  <Words>2579</Words>
  <Characters>14704</Characters>
  <Lines>122</Lines>
  <Paragraphs>34</Paragraphs>
  <TotalTime>1</TotalTime>
  <ScaleCrop>false</ScaleCrop>
  <LinksUpToDate>false</LinksUpToDate>
  <CharactersWithSpaces>17249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2019-09-05T13:27:00Z</dcterms:created>
  <dc:creator>admin</dc:creator>
  <cp:lastModifiedBy>林巧明</cp:lastModifiedBy>
  <cp:lastPrinted>2019-11-07T04:03:00Z</cp:lastPrinted>
  <dcterms:modified xsi:type="dcterms:W3CDTF">2021-10-14T08:37:53Z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