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shd w:val="clear" w:fill="FFFFFF"/>
          <w:lang w:eastAsia="zh-CN"/>
        </w:rPr>
        <w:t>拟聘聘员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shd w:val="clear" w:fill="FFFFFF"/>
          <w:lang w:val="en-US" w:eastAsia="zh-CN"/>
        </w:rPr>
        <w:t>202127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shd w:val="clear" w:fill="FFFFFF"/>
          <w:lang w:eastAsia="zh-CN"/>
        </w:rPr>
        <w:t>）</w:t>
      </w:r>
      <w:bookmarkEnd w:id="0"/>
    </w:p>
    <w:tbl>
      <w:tblPr>
        <w:tblStyle w:val="5"/>
        <w:tblW w:w="96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988"/>
        <w:gridCol w:w="1688"/>
        <w:gridCol w:w="613"/>
        <w:gridCol w:w="512"/>
        <w:gridCol w:w="954"/>
        <w:gridCol w:w="750"/>
        <w:gridCol w:w="1415"/>
        <w:gridCol w:w="1339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45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拟聘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岗位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</w:rPr>
              <w:t>年龄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学历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学位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雷媛娣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保健部干事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公共卫生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陈雅施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刘润花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93D6A"/>
    <w:rsid w:val="7769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2021-10-14T03:11:00Z</dcterms:created>
  <dc:creator>吴爱平</dc:creator>
  <cp:lastModifiedBy>吴爱平</cp:lastModifiedBy>
  <dcterms:modified xsi:type="dcterms:W3CDTF">2021-10-14T03:12:10Z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