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100" w:beforeAutospacing="1" w:after="100" w:afterAutospacing="1" w:line="560" w:lineRule="exact"/>
        <w:jc w:val="center"/>
        <w:rPr>
          <w:rFonts w:hint="eastAsia" w:ascii="方正小标宋简体" w:hAnsi="仿宋" w:eastAsia="方正小标宋简体" w:cs="仿宋_GB2312"/>
          <w:kern w:val="2"/>
          <w:sz w:val="44"/>
          <w:szCs w:val="44"/>
        </w:rPr>
      </w:pPr>
      <w:r>
        <w:rPr>
          <w:rFonts w:hint="eastAsia" w:ascii="方正小标宋简体" w:hAnsi="仿宋" w:eastAsia="方正小标宋简体" w:cs="仿宋_GB2312"/>
          <w:kern w:val="2"/>
          <w:sz w:val="44"/>
          <w:szCs w:val="44"/>
        </w:rPr>
        <w:t>深圳市龙岗中心医院</w:t>
      </w:r>
      <w:r>
        <w:rPr>
          <w:rFonts w:hint="eastAsia" w:ascii="方正小标宋简体" w:hAnsi="仿宋" w:eastAsia="方正小标宋简体" w:cs="仿宋_GB2312"/>
          <w:kern w:val="2"/>
          <w:sz w:val="44"/>
          <w:szCs w:val="44"/>
          <w:lang w:eastAsia="zh-CN"/>
        </w:rPr>
        <w:t>采购</w:t>
      </w:r>
      <w:r>
        <w:rPr>
          <w:rFonts w:hint="eastAsia" w:ascii="方正小标宋简体" w:hAnsi="仿宋" w:eastAsia="方正小标宋简体" w:cs="仿宋_GB2312"/>
          <w:kern w:val="2"/>
          <w:sz w:val="44"/>
          <w:szCs w:val="44"/>
        </w:rPr>
        <w:t>不锈钢</w:t>
      </w:r>
      <w:r>
        <w:rPr>
          <w:rFonts w:hint="eastAsia" w:ascii="方正小标宋简体" w:hAnsi="仿宋" w:eastAsia="方正小标宋简体" w:cs="仿宋_GB2312"/>
          <w:kern w:val="2"/>
          <w:sz w:val="44"/>
          <w:szCs w:val="44"/>
          <w:lang w:eastAsia="zh-CN"/>
        </w:rPr>
        <w:t>制品</w:t>
      </w:r>
      <w:r>
        <w:rPr>
          <w:rFonts w:hint="eastAsia" w:ascii="方正小标宋简体" w:hAnsi="仿宋" w:eastAsia="方正小标宋简体" w:cs="仿宋_GB2312"/>
          <w:kern w:val="2"/>
          <w:sz w:val="44"/>
          <w:szCs w:val="44"/>
        </w:rPr>
        <w:t>参数</w:t>
      </w:r>
    </w:p>
    <w:p>
      <w:pPr>
        <w:pStyle w:val="7"/>
        <w:shd w:val="clear" w:color="auto" w:fill="FFFFFF"/>
        <w:spacing w:before="100" w:beforeAutospacing="1" w:after="100" w:afterAutospacing="1" w:line="560" w:lineRule="exact"/>
        <w:jc w:val="center"/>
        <w:rPr>
          <w:rFonts w:ascii="方正小标宋简体" w:hAnsi="仿宋" w:eastAsia="方正小标宋简体" w:cs="仿宋_GB2312"/>
          <w:kern w:val="2"/>
          <w:sz w:val="44"/>
          <w:szCs w:val="44"/>
        </w:rPr>
      </w:pPr>
      <w:r>
        <w:rPr>
          <w:rFonts w:hint="eastAsia" w:ascii="方正小标宋简体" w:hAnsi="仿宋" w:eastAsia="方正小标宋简体" w:cs="仿宋_GB2312"/>
          <w:kern w:val="2"/>
          <w:sz w:val="44"/>
          <w:szCs w:val="44"/>
        </w:rPr>
        <w:t>及其他要求</w:t>
      </w:r>
    </w:p>
    <w:p>
      <w:pPr>
        <w:pStyle w:val="7"/>
        <w:shd w:val="clear" w:color="auto" w:fill="FFFFFF"/>
        <w:spacing w:before="100" w:beforeAutospacing="1" w:after="100" w:afterAutospacing="1" w:line="560" w:lineRule="exact"/>
        <w:jc w:val="center"/>
        <w:rPr>
          <w:rFonts w:ascii="方正小标宋简体" w:hAnsi="仿宋" w:eastAsia="方正小标宋简体" w:cs="仿宋_GB2312"/>
          <w:kern w:val="2"/>
          <w:sz w:val="44"/>
          <w:szCs w:val="44"/>
        </w:rPr>
      </w:pPr>
    </w:p>
    <w:p>
      <w:pPr>
        <w:pStyle w:val="7"/>
        <w:shd w:val="clear" w:color="auto" w:fill="FFFFFF"/>
        <w:spacing w:line="560" w:lineRule="exact"/>
        <w:rPr>
          <w:rFonts w:hint="eastAsia"/>
          <w:b/>
          <w:sz w:val="32"/>
          <w:szCs w:val="32"/>
        </w:rPr>
      </w:pPr>
      <w:r>
        <w:rPr>
          <w:rFonts w:hint="eastAsia"/>
          <w:b/>
          <w:sz w:val="32"/>
          <w:szCs w:val="32"/>
        </w:rPr>
        <w:t>一、龙岗中心医院</w:t>
      </w:r>
      <w:r>
        <w:rPr>
          <w:rFonts w:hint="eastAsia"/>
          <w:b/>
          <w:sz w:val="32"/>
          <w:szCs w:val="32"/>
          <w:lang w:eastAsia="zh-CN"/>
        </w:rPr>
        <w:t>采购</w:t>
      </w:r>
      <w:r>
        <w:rPr>
          <w:rFonts w:hint="eastAsia"/>
          <w:b/>
          <w:sz w:val="32"/>
          <w:szCs w:val="32"/>
        </w:rPr>
        <w:t>不锈钢</w:t>
      </w:r>
      <w:r>
        <w:rPr>
          <w:rFonts w:hint="eastAsia"/>
          <w:b/>
          <w:sz w:val="32"/>
          <w:szCs w:val="32"/>
          <w:lang w:eastAsia="zh-CN"/>
        </w:rPr>
        <w:t>制品</w:t>
      </w:r>
      <w:r>
        <w:rPr>
          <w:rFonts w:hint="eastAsia"/>
          <w:b/>
          <w:sz w:val="32"/>
          <w:szCs w:val="32"/>
        </w:rPr>
        <w:t>评分信息表</w:t>
      </w:r>
    </w:p>
    <w:p>
      <w:pPr>
        <w:pStyle w:val="7"/>
        <w:shd w:val="clear" w:color="auto" w:fill="FFFFFF"/>
        <w:spacing w:line="560" w:lineRule="exact"/>
        <w:rPr>
          <w:rFonts w:asciiTheme="minorEastAsia" w:hAnsiTheme="minorEastAsia" w:eastAsiaTheme="minorEastAsia"/>
          <w:sz w:val="28"/>
          <w:szCs w:val="28"/>
        </w:rPr>
      </w:pPr>
      <w:r>
        <w:rPr>
          <w:rFonts w:hint="eastAsia" w:ascii="仿宋" w:hAnsi="仿宋" w:eastAsia="仿宋"/>
          <w:sz w:val="28"/>
          <w:szCs w:val="28"/>
        </w:rPr>
        <w:t>评</w:t>
      </w:r>
      <w:r>
        <w:rPr>
          <w:rFonts w:hint="eastAsia" w:asciiTheme="minorEastAsia" w:hAnsiTheme="minorEastAsia" w:eastAsiaTheme="minorEastAsia"/>
          <w:sz w:val="28"/>
          <w:szCs w:val="28"/>
        </w:rPr>
        <w:t>标方法： 综合评分法（权重100分）</w:t>
      </w:r>
    </w:p>
    <w:tbl>
      <w:tblPr>
        <w:tblStyle w:val="8"/>
        <w:tblW w:w="961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15"/>
        <w:gridCol w:w="1303"/>
        <w:gridCol w:w="713"/>
        <w:gridCol w:w="1216"/>
        <w:gridCol w:w="58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3747" w:type="dxa"/>
            <w:gridSpan w:val="4"/>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评分项</w:t>
            </w:r>
          </w:p>
        </w:tc>
        <w:tc>
          <w:tcPr>
            <w:tcW w:w="5871"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3747" w:type="dxa"/>
            <w:gridSpan w:val="4"/>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价格</w:t>
            </w:r>
          </w:p>
        </w:tc>
        <w:tc>
          <w:tcPr>
            <w:tcW w:w="5871"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9618" w:type="dxa"/>
            <w:gridSpan w:val="5"/>
            <w:tcMar>
              <w:top w:w="0" w:type="dxa"/>
              <w:left w:w="108" w:type="dxa"/>
              <w:bottom w:w="0" w:type="dxa"/>
              <w:right w:w="108" w:type="dxa"/>
            </w:tcMar>
            <w:vAlign w:val="center"/>
          </w:tcPr>
          <w:p>
            <w:pPr>
              <w:widowControl/>
              <w:wordWrap w:val="0"/>
              <w:spacing w:line="20" w:lineRule="atLeast"/>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sz w:val="28"/>
                <w:szCs w:val="28"/>
              </w:rPr>
              <w:t>满足招标文件要求且投标价格最低的投标报价为评标价基准价，其价格分为满分。价格分计算公式：投标报价得分=(评标基准价/有效投标报价)×30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3747" w:type="dxa"/>
            <w:gridSpan w:val="4"/>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技术部分</w:t>
            </w:r>
          </w:p>
        </w:tc>
        <w:tc>
          <w:tcPr>
            <w:tcW w:w="5871" w:type="dxa"/>
            <w:tcMar>
              <w:top w:w="0" w:type="dxa"/>
              <w:left w:w="108" w:type="dxa"/>
              <w:bottom w:w="0" w:type="dxa"/>
              <w:right w:w="108" w:type="dxa"/>
            </w:tcMar>
            <w:vAlign w:val="center"/>
          </w:tcPr>
          <w:p>
            <w:pPr>
              <w:widowControl/>
              <w:wordWrap w:val="0"/>
              <w:spacing w:line="20" w:lineRule="atLeast"/>
              <w:jc w:val="center"/>
              <w:rPr>
                <w:rFonts w:hint="default" w:cs="宋体" w:asciiTheme="minorEastAsia" w:hAnsiTheme="minorEastAsia" w:eastAsiaTheme="minorEastAsia"/>
                <w:color w:val="000000" w:themeColor="text1"/>
                <w:kern w:val="0"/>
                <w:sz w:val="28"/>
                <w:szCs w:val="28"/>
                <w:lang w:val="en-US" w:eastAsia="zh-CN"/>
              </w:rPr>
            </w:pPr>
            <w:r>
              <w:rPr>
                <w:rFonts w:hint="eastAsia" w:cs="宋体" w:asciiTheme="minorEastAsia" w:hAnsiTheme="minorEastAsia" w:eastAsiaTheme="minorEastAsia"/>
                <w:color w:val="000000" w:themeColor="text1"/>
                <w:kern w:val="0"/>
                <w:sz w:val="28"/>
                <w:szCs w:val="28"/>
                <w:lang w:val="en-US" w:eastAsia="zh-CN"/>
              </w:rPr>
              <w:t>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8" w:hRule="atLeast"/>
          <w:jc w:val="center"/>
        </w:trPr>
        <w:tc>
          <w:tcPr>
            <w:tcW w:w="515"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序号</w:t>
            </w:r>
          </w:p>
        </w:tc>
        <w:tc>
          <w:tcPr>
            <w:tcW w:w="1303"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评分因素</w:t>
            </w:r>
          </w:p>
        </w:tc>
        <w:tc>
          <w:tcPr>
            <w:tcW w:w="713"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权重</w:t>
            </w:r>
          </w:p>
        </w:tc>
        <w:tc>
          <w:tcPr>
            <w:tcW w:w="1216"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评分方式</w:t>
            </w:r>
          </w:p>
        </w:tc>
        <w:tc>
          <w:tcPr>
            <w:tcW w:w="5871"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8" w:hRule="atLeast"/>
          <w:jc w:val="center"/>
        </w:trPr>
        <w:tc>
          <w:tcPr>
            <w:tcW w:w="515"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1</w:t>
            </w:r>
          </w:p>
        </w:tc>
        <w:tc>
          <w:tcPr>
            <w:tcW w:w="1303"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投标参数响应评价</w:t>
            </w:r>
          </w:p>
        </w:tc>
        <w:tc>
          <w:tcPr>
            <w:tcW w:w="713"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20</w:t>
            </w:r>
          </w:p>
        </w:tc>
        <w:tc>
          <w:tcPr>
            <w:tcW w:w="1216"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专家打分</w:t>
            </w:r>
          </w:p>
        </w:tc>
        <w:tc>
          <w:tcPr>
            <w:tcW w:w="5871"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投标人应如实填写《技术规格偏离表》，专家根据技术需求参数响应情况进行打分，各项技术参数指标及要求全部满足的得满分，每1项</w:t>
            </w:r>
          </w:p>
          <w:p>
            <w:pPr>
              <w:widowControl/>
              <w:wordWrap w:val="0"/>
              <w:spacing w:line="20" w:lineRule="atLeas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负偏离扣2分，扣完为止。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515" w:type="dxa"/>
            <w:tcMar>
              <w:top w:w="0" w:type="dxa"/>
              <w:left w:w="108" w:type="dxa"/>
              <w:bottom w:w="0" w:type="dxa"/>
              <w:right w:w="108" w:type="dxa"/>
            </w:tcMar>
            <w:vAlign w:val="center"/>
          </w:tcPr>
          <w:p>
            <w:pPr>
              <w:widowControl/>
              <w:wordWrap w:val="0"/>
              <w:spacing w:line="24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2</w:t>
            </w:r>
          </w:p>
        </w:tc>
        <w:tc>
          <w:tcPr>
            <w:tcW w:w="130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服务配送距离</w:t>
            </w:r>
          </w:p>
        </w:tc>
        <w:tc>
          <w:tcPr>
            <w:tcW w:w="713" w:type="dxa"/>
            <w:tcMar>
              <w:top w:w="0" w:type="dxa"/>
              <w:left w:w="108" w:type="dxa"/>
              <w:bottom w:w="0" w:type="dxa"/>
              <w:right w:w="108" w:type="dxa"/>
            </w:tcMar>
            <w:vAlign w:val="center"/>
          </w:tcPr>
          <w:p>
            <w:pPr>
              <w:jc w:val="center"/>
              <w:rPr>
                <w:rFonts w:hint="eastAsia" w:cs="宋体" w:asciiTheme="minorEastAsia" w:hAnsiTheme="minorEastAsia" w:eastAsiaTheme="minorEastAsia"/>
                <w:color w:val="000000" w:themeColor="text1"/>
                <w:sz w:val="28"/>
                <w:szCs w:val="28"/>
                <w:lang w:eastAsia="zh-CN"/>
              </w:rPr>
            </w:pPr>
            <w:r>
              <w:rPr>
                <w:rFonts w:hint="eastAsia" w:cs="宋体" w:asciiTheme="minorEastAsia" w:hAnsiTheme="minorEastAsia" w:eastAsiaTheme="minorEastAsia"/>
                <w:color w:val="000000" w:themeColor="text1"/>
                <w:sz w:val="28"/>
                <w:szCs w:val="28"/>
                <w:lang w:val="en-US" w:eastAsia="zh-CN"/>
              </w:rPr>
              <w:t>5</w:t>
            </w:r>
          </w:p>
        </w:tc>
        <w:tc>
          <w:tcPr>
            <w:tcW w:w="1216"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sz w:val="28"/>
                <w:szCs w:val="28"/>
              </w:rPr>
              <w:t>专家评分</w:t>
            </w:r>
          </w:p>
        </w:tc>
        <w:tc>
          <w:tcPr>
            <w:tcW w:w="5871" w:type="dxa"/>
            <w:tcMar>
              <w:top w:w="0" w:type="dxa"/>
              <w:left w:w="108" w:type="dxa"/>
              <w:bottom w:w="0" w:type="dxa"/>
              <w:right w:w="108" w:type="dxa"/>
            </w:tcMar>
          </w:tcPr>
          <w:p>
            <w:pPr>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自采购人龙岗中心医院位置为起点，以投标人取得的经营场所为终点，依据百度地图测距测算的距离为准：在30分钟内到达的得</w:t>
            </w:r>
            <w:r>
              <w:rPr>
                <w:rFonts w:hint="eastAsia" w:cs="宋体" w:asciiTheme="minorEastAsia" w:hAnsiTheme="minorEastAsia" w:eastAsiaTheme="minorEastAsia"/>
                <w:color w:val="000000" w:themeColor="text1"/>
                <w:kern w:val="0"/>
                <w:sz w:val="28"/>
                <w:szCs w:val="28"/>
                <w:lang w:val="en-US" w:eastAsia="zh-CN"/>
              </w:rPr>
              <w:t>5</w:t>
            </w:r>
            <w:r>
              <w:rPr>
                <w:rFonts w:hint="eastAsia" w:cs="宋体" w:asciiTheme="minorEastAsia" w:hAnsiTheme="minorEastAsia" w:eastAsiaTheme="minorEastAsia"/>
                <w:color w:val="000000" w:themeColor="text1"/>
                <w:kern w:val="0"/>
                <w:sz w:val="28"/>
                <w:szCs w:val="28"/>
              </w:rPr>
              <w:t>分；30分钟以上至1小时内到达的得</w:t>
            </w:r>
            <w:r>
              <w:rPr>
                <w:rFonts w:hint="eastAsia" w:cs="宋体" w:asciiTheme="minorEastAsia" w:hAnsiTheme="minorEastAsia" w:eastAsiaTheme="minorEastAsia"/>
                <w:color w:val="000000" w:themeColor="text1"/>
                <w:kern w:val="0"/>
                <w:sz w:val="28"/>
                <w:szCs w:val="28"/>
                <w:lang w:val="en-US" w:eastAsia="zh-CN"/>
              </w:rPr>
              <w:t>3</w:t>
            </w:r>
            <w:r>
              <w:rPr>
                <w:rFonts w:hint="eastAsia" w:cs="宋体" w:asciiTheme="minorEastAsia" w:hAnsiTheme="minorEastAsia" w:eastAsiaTheme="minorEastAsia"/>
                <w:color w:val="000000" w:themeColor="text1"/>
                <w:kern w:val="0"/>
                <w:sz w:val="28"/>
                <w:szCs w:val="28"/>
              </w:rPr>
              <w:t>分；1小时以上至</w:t>
            </w:r>
            <w:r>
              <w:rPr>
                <w:rFonts w:hint="eastAsia" w:cs="宋体" w:asciiTheme="minorEastAsia" w:hAnsiTheme="minorEastAsia" w:eastAsiaTheme="minorEastAsia"/>
                <w:color w:val="000000" w:themeColor="text1"/>
                <w:kern w:val="0"/>
                <w:sz w:val="28"/>
                <w:szCs w:val="28"/>
                <w:lang w:val="en-US" w:eastAsia="zh-CN"/>
              </w:rPr>
              <w:t>2</w:t>
            </w:r>
            <w:r>
              <w:rPr>
                <w:rFonts w:hint="eastAsia" w:cs="宋体" w:asciiTheme="minorEastAsia" w:hAnsiTheme="minorEastAsia" w:eastAsiaTheme="minorEastAsia"/>
                <w:color w:val="000000" w:themeColor="text1"/>
                <w:kern w:val="0"/>
                <w:sz w:val="28"/>
                <w:szCs w:val="28"/>
              </w:rPr>
              <w:t>小时内到达的得</w:t>
            </w:r>
            <w:r>
              <w:rPr>
                <w:rFonts w:hint="eastAsia" w:cs="宋体" w:asciiTheme="minorEastAsia" w:hAnsiTheme="minorEastAsia" w:eastAsiaTheme="minorEastAsia"/>
                <w:color w:val="000000" w:themeColor="text1"/>
                <w:kern w:val="0"/>
                <w:sz w:val="28"/>
                <w:szCs w:val="28"/>
                <w:lang w:val="en-US" w:eastAsia="zh-CN"/>
              </w:rPr>
              <w:t>2</w:t>
            </w:r>
            <w:r>
              <w:rPr>
                <w:rFonts w:hint="eastAsia" w:cs="宋体" w:asciiTheme="minorEastAsia" w:hAnsiTheme="minorEastAsia" w:eastAsiaTheme="minorEastAsia"/>
                <w:color w:val="000000" w:themeColor="text1"/>
                <w:kern w:val="0"/>
                <w:sz w:val="28"/>
                <w:szCs w:val="28"/>
              </w:rPr>
              <w:t>分；</w:t>
            </w:r>
            <w:r>
              <w:rPr>
                <w:rFonts w:hint="eastAsia" w:cs="宋体" w:asciiTheme="minorEastAsia" w:hAnsiTheme="minorEastAsia" w:eastAsiaTheme="minorEastAsia"/>
                <w:color w:val="000000" w:themeColor="text1"/>
                <w:kern w:val="0"/>
                <w:sz w:val="28"/>
                <w:szCs w:val="28"/>
                <w:lang w:val="en-US" w:eastAsia="zh-CN"/>
              </w:rPr>
              <w:t>2</w:t>
            </w:r>
            <w:r>
              <w:rPr>
                <w:rFonts w:hint="eastAsia" w:cs="宋体" w:asciiTheme="minorEastAsia" w:hAnsiTheme="minorEastAsia" w:eastAsiaTheme="minorEastAsia"/>
                <w:color w:val="000000" w:themeColor="text1"/>
                <w:kern w:val="0"/>
                <w:sz w:val="28"/>
                <w:szCs w:val="28"/>
              </w:rPr>
              <w:t>小时以上得</w:t>
            </w:r>
            <w:r>
              <w:rPr>
                <w:rFonts w:hint="eastAsia" w:cs="宋体" w:asciiTheme="minorEastAsia" w:hAnsiTheme="minorEastAsia" w:eastAsiaTheme="minorEastAsia"/>
                <w:color w:val="000000" w:themeColor="text1"/>
                <w:kern w:val="0"/>
                <w:sz w:val="28"/>
                <w:szCs w:val="28"/>
                <w:lang w:val="en-US" w:eastAsia="zh-CN"/>
              </w:rPr>
              <w:t>1</w:t>
            </w:r>
            <w:r>
              <w:rPr>
                <w:rFonts w:hint="eastAsia" w:cs="宋体" w:asciiTheme="minorEastAsia" w:hAnsiTheme="minorEastAsia" w:eastAsiaTheme="minorEastAsia"/>
                <w:color w:val="000000" w:themeColor="text1"/>
                <w:kern w:val="0"/>
                <w:sz w:val="28"/>
                <w:szCs w:val="28"/>
              </w:rPr>
              <w:t>分。（评分依据：提供百度地图距离截图件加盖投标人公章，不清晰或未提供不得分）。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62" w:hRule="atLeast"/>
          <w:jc w:val="center"/>
        </w:trPr>
        <w:tc>
          <w:tcPr>
            <w:tcW w:w="515" w:type="dxa"/>
            <w:tcMar>
              <w:top w:w="0" w:type="dxa"/>
              <w:left w:w="108" w:type="dxa"/>
              <w:bottom w:w="0" w:type="dxa"/>
              <w:right w:w="108" w:type="dxa"/>
            </w:tcMar>
            <w:vAlign w:val="center"/>
          </w:tcPr>
          <w:p>
            <w:pPr>
              <w:widowControl/>
              <w:wordWrap w:val="0"/>
              <w:spacing w:line="24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3</w:t>
            </w:r>
          </w:p>
        </w:tc>
        <w:tc>
          <w:tcPr>
            <w:tcW w:w="130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售后服务承诺及响应时间</w:t>
            </w:r>
          </w:p>
        </w:tc>
        <w:tc>
          <w:tcPr>
            <w:tcW w:w="713" w:type="dxa"/>
            <w:tcMar>
              <w:top w:w="0" w:type="dxa"/>
              <w:left w:w="108" w:type="dxa"/>
              <w:bottom w:w="0" w:type="dxa"/>
              <w:right w:w="108" w:type="dxa"/>
            </w:tcMar>
            <w:vAlign w:val="center"/>
          </w:tcPr>
          <w:p>
            <w:pPr>
              <w:jc w:val="center"/>
              <w:rPr>
                <w:rFonts w:hint="default" w:cs="宋体" w:asciiTheme="minorEastAsia" w:hAnsiTheme="minorEastAsia" w:eastAsiaTheme="minorEastAsia"/>
                <w:color w:val="000000" w:themeColor="text1"/>
                <w:kern w:val="0"/>
                <w:sz w:val="28"/>
                <w:szCs w:val="28"/>
                <w:lang w:val="en-US" w:eastAsia="zh-CN"/>
              </w:rPr>
            </w:pPr>
            <w:r>
              <w:rPr>
                <w:rFonts w:hint="eastAsia" w:cs="宋体" w:asciiTheme="minorEastAsia" w:hAnsiTheme="minorEastAsia" w:eastAsiaTheme="minorEastAsia"/>
                <w:color w:val="000000" w:themeColor="text1"/>
                <w:kern w:val="0"/>
                <w:sz w:val="28"/>
                <w:szCs w:val="28"/>
                <w:lang w:val="en-US" w:eastAsia="zh-CN"/>
              </w:rPr>
              <w:t>6</w:t>
            </w:r>
          </w:p>
        </w:tc>
        <w:tc>
          <w:tcPr>
            <w:tcW w:w="1216" w:type="dxa"/>
            <w:tcMar>
              <w:top w:w="0" w:type="dxa"/>
              <w:left w:w="108" w:type="dxa"/>
              <w:bottom w:w="0" w:type="dxa"/>
              <w:right w:w="108" w:type="dxa"/>
            </w:tcMar>
            <w:vAlign w:val="center"/>
          </w:tcPr>
          <w:p>
            <w:pPr>
              <w:pStyle w:val="3"/>
              <w:ind w:firstLine="0"/>
              <w:jc w:val="center"/>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专家打分</w:t>
            </w:r>
          </w:p>
        </w:tc>
        <w:tc>
          <w:tcPr>
            <w:tcW w:w="5871" w:type="dxa"/>
            <w:tcMar>
              <w:top w:w="0" w:type="dxa"/>
              <w:left w:w="108" w:type="dxa"/>
              <w:bottom w:w="0" w:type="dxa"/>
              <w:right w:w="108" w:type="dxa"/>
            </w:tcMar>
          </w:tcPr>
          <w:p>
            <w:pPr>
              <w:spacing w:line="460" w:lineRule="exact"/>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1、投标人在投标文件中详细说明在紧急售后服务时间:30分钟内到达的得</w:t>
            </w:r>
            <w:r>
              <w:rPr>
                <w:rFonts w:hint="eastAsia" w:cs="宋体" w:asciiTheme="minorEastAsia" w:hAnsiTheme="minorEastAsia" w:eastAsiaTheme="minorEastAsia"/>
                <w:color w:val="000000" w:themeColor="text1"/>
                <w:kern w:val="0"/>
                <w:sz w:val="28"/>
                <w:szCs w:val="28"/>
                <w:lang w:val="en-US" w:eastAsia="zh-CN"/>
              </w:rPr>
              <w:t>6</w:t>
            </w:r>
            <w:r>
              <w:rPr>
                <w:rFonts w:hint="eastAsia" w:cs="宋体" w:asciiTheme="minorEastAsia" w:hAnsiTheme="minorEastAsia" w:eastAsiaTheme="minorEastAsia"/>
                <w:color w:val="000000" w:themeColor="text1"/>
                <w:kern w:val="0"/>
                <w:sz w:val="28"/>
                <w:szCs w:val="28"/>
              </w:rPr>
              <w:t>分；</w:t>
            </w:r>
          </w:p>
          <w:p>
            <w:pPr>
              <w:spacing w:line="460" w:lineRule="exact"/>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2、普通售后服务响应时间1小时内得</w:t>
            </w:r>
            <w:r>
              <w:rPr>
                <w:rFonts w:hint="eastAsia" w:cs="宋体" w:asciiTheme="minorEastAsia" w:hAnsiTheme="minorEastAsia" w:eastAsiaTheme="minorEastAsia"/>
                <w:color w:val="000000" w:themeColor="text1"/>
                <w:kern w:val="0"/>
                <w:sz w:val="28"/>
                <w:szCs w:val="28"/>
                <w:lang w:val="en-US" w:eastAsia="zh-CN"/>
              </w:rPr>
              <w:t>4</w:t>
            </w:r>
            <w:r>
              <w:rPr>
                <w:rFonts w:hint="eastAsia" w:cs="宋体" w:asciiTheme="minorEastAsia" w:hAnsiTheme="minorEastAsia" w:eastAsiaTheme="minorEastAsia"/>
                <w:color w:val="000000" w:themeColor="text1"/>
                <w:kern w:val="0"/>
                <w:sz w:val="28"/>
                <w:szCs w:val="28"/>
              </w:rPr>
              <w:t>分，</w:t>
            </w:r>
          </w:p>
          <w:p>
            <w:pPr>
              <w:spacing w:line="460" w:lineRule="exact"/>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3、售后服务响应时间1小时（含）以上的得</w:t>
            </w:r>
            <w:r>
              <w:rPr>
                <w:rFonts w:hint="eastAsia" w:cs="宋体" w:asciiTheme="minorEastAsia" w:hAnsiTheme="minorEastAsia" w:eastAsiaTheme="minorEastAsia"/>
                <w:color w:val="000000" w:themeColor="text1"/>
                <w:kern w:val="0"/>
                <w:sz w:val="28"/>
                <w:szCs w:val="28"/>
                <w:lang w:val="en-US" w:eastAsia="zh-CN"/>
              </w:rPr>
              <w:t>2</w:t>
            </w:r>
            <w:r>
              <w:rPr>
                <w:rFonts w:hint="eastAsia" w:cs="宋体" w:asciiTheme="minorEastAsia" w:hAnsiTheme="minorEastAsia" w:eastAsiaTheme="minorEastAsia"/>
                <w:color w:val="000000" w:themeColor="text1"/>
                <w:kern w:val="0"/>
                <w:sz w:val="28"/>
                <w:szCs w:val="28"/>
              </w:rPr>
              <w:t>分，未提供或差的不得分；</w:t>
            </w:r>
          </w:p>
          <w:p>
            <w:pPr>
              <w:spacing w:line="460" w:lineRule="exact"/>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评分依据：提供承诺函（格式自拟），本项累计最高</w:t>
            </w:r>
            <w:r>
              <w:rPr>
                <w:rFonts w:hint="eastAsia" w:cs="宋体" w:asciiTheme="minorEastAsia" w:hAnsiTheme="minorEastAsia" w:eastAsiaTheme="minorEastAsia"/>
                <w:color w:val="000000" w:themeColor="text1"/>
                <w:kern w:val="0"/>
                <w:sz w:val="28"/>
                <w:szCs w:val="28"/>
                <w:lang w:val="en-US" w:eastAsia="zh-CN"/>
              </w:rPr>
              <w:t>6</w:t>
            </w:r>
            <w:r>
              <w:rPr>
                <w:rFonts w:hint="eastAsia" w:cs="宋体" w:asciiTheme="minorEastAsia" w:hAnsiTheme="minorEastAsia" w:eastAsiaTheme="minorEastAsia"/>
                <w:color w:val="000000" w:themeColor="text1"/>
                <w:kern w:val="0"/>
                <w:sz w:val="28"/>
                <w:szCs w:val="28"/>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62" w:hRule="atLeast"/>
          <w:jc w:val="center"/>
        </w:trPr>
        <w:tc>
          <w:tcPr>
            <w:tcW w:w="515" w:type="dxa"/>
            <w:tcMar>
              <w:top w:w="0" w:type="dxa"/>
              <w:left w:w="108" w:type="dxa"/>
              <w:bottom w:w="0" w:type="dxa"/>
              <w:right w:w="108" w:type="dxa"/>
            </w:tcMar>
            <w:vAlign w:val="center"/>
          </w:tcPr>
          <w:p>
            <w:pPr>
              <w:widowControl/>
              <w:wordWrap w:val="0"/>
              <w:spacing w:line="24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4</w:t>
            </w:r>
          </w:p>
        </w:tc>
        <w:tc>
          <w:tcPr>
            <w:tcW w:w="130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asciiTheme="minorEastAsia" w:hAnsiTheme="minorEastAsia" w:eastAsiaTheme="minorEastAsia"/>
                <w:sz w:val="28"/>
                <w:szCs w:val="28"/>
              </w:rPr>
              <w:t>整体设计方案</w:t>
            </w:r>
          </w:p>
        </w:tc>
        <w:tc>
          <w:tcPr>
            <w:tcW w:w="71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15</w:t>
            </w:r>
          </w:p>
        </w:tc>
        <w:tc>
          <w:tcPr>
            <w:tcW w:w="1216" w:type="dxa"/>
            <w:tcMar>
              <w:top w:w="0" w:type="dxa"/>
              <w:left w:w="108" w:type="dxa"/>
              <w:bottom w:w="0" w:type="dxa"/>
              <w:right w:w="108" w:type="dxa"/>
            </w:tcMar>
            <w:vAlign w:val="center"/>
          </w:tcPr>
          <w:p>
            <w:pPr>
              <w:pStyle w:val="3"/>
              <w:ind w:firstLine="0"/>
              <w:jc w:val="center"/>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专家打分</w:t>
            </w:r>
          </w:p>
        </w:tc>
        <w:tc>
          <w:tcPr>
            <w:tcW w:w="5871" w:type="dxa"/>
            <w:tcMar>
              <w:top w:w="0" w:type="dxa"/>
              <w:left w:w="108" w:type="dxa"/>
              <w:bottom w:w="0" w:type="dxa"/>
              <w:right w:w="108" w:type="dxa"/>
            </w:tcMar>
          </w:tcPr>
          <w:p>
            <w:pPr>
              <w:spacing w:line="460" w:lineRule="exact"/>
              <w:jc w:val="left"/>
              <w:rPr>
                <w:rFonts w:cs="宋体" w:asciiTheme="minorEastAsia" w:hAnsiTheme="minorEastAsia" w:eastAsiaTheme="minorEastAsia"/>
                <w:color w:val="000000" w:themeColor="text1"/>
                <w:kern w:val="0"/>
                <w:sz w:val="28"/>
                <w:szCs w:val="28"/>
              </w:rPr>
            </w:pPr>
            <w:r>
              <w:rPr>
                <w:rFonts w:hint="eastAsia" w:asciiTheme="minorEastAsia" w:hAnsiTheme="minorEastAsia" w:eastAsiaTheme="minorEastAsia"/>
                <w:sz w:val="28"/>
                <w:szCs w:val="28"/>
              </w:rPr>
              <w:t>投标人提供与实际场景相匹配的整体施工设计方案、服务方案、技术人员安排以及售后服务内容和工作方案等情况，评价为优得</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rPr>
              <w:t>15分，良得</w:t>
            </w:r>
            <w:r>
              <w:rPr>
                <w:rFonts w:hint="eastAsia" w:asciiTheme="minorEastAsia" w:hAnsiTheme="minorEastAsia" w:eastAsiaTheme="minorEastAsia"/>
                <w:sz w:val="28"/>
                <w:szCs w:val="28"/>
                <w:lang w:val="en-US" w:eastAsia="zh-CN"/>
              </w:rPr>
              <w:t>8-11</w:t>
            </w:r>
            <w:r>
              <w:rPr>
                <w:rFonts w:hint="eastAsia" w:asciiTheme="minorEastAsia" w:hAnsiTheme="minorEastAsia" w:eastAsiaTheme="minorEastAsia"/>
                <w:sz w:val="28"/>
                <w:szCs w:val="28"/>
              </w:rPr>
              <w:t>分，中得</w:t>
            </w:r>
            <w:r>
              <w:rPr>
                <w:rFonts w:hint="eastAsia" w:asciiTheme="minorEastAsia" w:hAnsiTheme="minorEastAsia" w:eastAsiaTheme="minorEastAsia"/>
                <w:sz w:val="28"/>
                <w:szCs w:val="28"/>
                <w:lang w:val="en-US" w:eastAsia="zh-CN"/>
              </w:rPr>
              <w:t>4-7</w:t>
            </w:r>
            <w:r>
              <w:rPr>
                <w:rFonts w:hint="eastAsia" w:asciiTheme="minorEastAsia" w:hAnsiTheme="minorEastAsia" w:eastAsiaTheme="minorEastAsia"/>
                <w:sz w:val="28"/>
                <w:szCs w:val="28"/>
              </w:rPr>
              <w:t>分</w:t>
            </w:r>
            <w:r>
              <w:rPr>
                <w:rFonts w:hint="eastAsia" w:asciiTheme="minorEastAsia" w:hAnsiTheme="minorEastAsia" w:eastAsiaTheme="minorEastAsia"/>
                <w:sz w:val="28"/>
                <w:szCs w:val="28"/>
                <w:lang w:val="en-US" w:eastAsia="zh-CN"/>
              </w:rPr>
              <w:t>,差得1-3分</w:t>
            </w:r>
            <w:r>
              <w:rPr>
                <w:rFonts w:hint="eastAsia" w:asciiTheme="minorEastAsia" w:hAnsiTheme="minorEastAsia" w:eastAsiaTheme="minorEastAsia"/>
                <w:sz w:val="28"/>
                <w:szCs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3747" w:type="dxa"/>
            <w:gridSpan w:val="4"/>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综合实力部分</w:t>
            </w:r>
          </w:p>
        </w:tc>
        <w:tc>
          <w:tcPr>
            <w:tcW w:w="5871" w:type="dxa"/>
            <w:tcMar>
              <w:top w:w="0" w:type="dxa"/>
              <w:left w:w="108" w:type="dxa"/>
              <w:bottom w:w="0" w:type="dxa"/>
              <w:right w:w="108" w:type="dxa"/>
            </w:tcMar>
            <w:vAlign w:val="center"/>
          </w:tcPr>
          <w:p>
            <w:pPr>
              <w:widowControl/>
              <w:wordWrap w:val="0"/>
              <w:spacing w:line="260" w:lineRule="atLeast"/>
              <w:jc w:val="center"/>
              <w:rPr>
                <w:rFonts w:hint="eastAsia" w:cs="宋体" w:asciiTheme="minorEastAsia" w:hAnsiTheme="minorEastAsia" w:eastAsiaTheme="minorEastAsia"/>
                <w:color w:val="000000" w:themeColor="text1"/>
                <w:kern w:val="0"/>
                <w:sz w:val="28"/>
                <w:szCs w:val="28"/>
                <w:lang w:eastAsia="zh-CN"/>
              </w:rPr>
            </w:pPr>
            <w:r>
              <w:rPr>
                <w:rFonts w:hint="eastAsia" w:cs="宋体" w:asciiTheme="minorEastAsia" w:hAnsiTheme="minorEastAsia" w:eastAsiaTheme="minorEastAsia"/>
                <w:color w:val="000000" w:themeColor="text1"/>
                <w:kern w:val="0"/>
                <w:sz w:val="28"/>
                <w:szCs w:val="28"/>
              </w:rPr>
              <w:t>2</w:t>
            </w:r>
            <w:r>
              <w:rPr>
                <w:rFonts w:hint="eastAsia" w:cs="宋体" w:asciiTheme="minorEastAsia" w:hAnsiTheme="minorEastAsia" w:eastAsiaTheme="minorEastAsia"/>
                <w:color w:val="000000" w:themeColor="text1"/>
                <w:kern w:val="0"/>
                <w:sz w:val="28"/>
                <w:szCs w:val="28"/>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68" w:hRule="atLeast"/>
          <w:jc w:val="center"/>
        </w:trPr>
        <w:tc>
          <w:tcPr>
            <w:tcW w:w="515"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序号</w:t>
            </w:r>
          </w:p>
        </w:tc>
        <w:tc>
          <w:tcPr>
            <w:tcW w:w="1303"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评分因素</w:t>
            </w:r>
          </w:p>
        </w:tc>
        <w:tc>
          <w:tcPr>
            <w:tcW w:w="713"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权重</w:t>
            </w:r>
          </w:p>
        </w:tc>
        <w:tc>
          <w:tcPr>
            <w:tcW w:w="1216"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评分方式</w:t>
            </w:r>
          </w:p>
        </w:tc>
        <w:tc>
          <w:tcPr>
            <w:tcW w:w="5871"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8" w:hRule="atLeast"/>
          <w:jc w:val="center"/>
        </w:trPr>
        <w:tc>
          <w:tcPr>
            <w:tcW w:w="515" w:type="dxa"/>
            <w:tcMar>
              <w:top w:w="0" w:type="dxa"/>
              <w:left w:w="108" w:type="dxa"/>
              <w:bottom w:w="0" w:type="dxa"/>
              <w:right w:w="108" w:type="dxa"/>
            </w:tcMar>
            <w:vAlign w:val="center"/>
          </w:tcPr>
          <w:p>
            <w:pPr>
              <w:widowControl/>
              <w:spacing w:line="26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2</w:t>
            </w:r>
          </w:p>
        </w:tc>
        <w:tc>
          <w:tcPr>
            <w:tcW w:w="130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asciiTheme="minorEastAsia" w:hAnsiTheme="minorEastAsia" w:eastAsiaTheme="minorEastAsia"/>
                <w:sz w:val="28"/>
                <w:szCs w:val="28"/>
              </w:rPr>
              <w:t>投标人经营场所面积</w:t>
            </w:r>
          </w:p>
        </w:tc>
        <w:tc>
          <w:tcPr>
            <w:tcW w:w="713" w:type="dxa"/>
            <w:tcMar>
              <w:top w:w="0" w:type="dxa"/>
              <w:left w:w="108" w:type="dxa"/>
              <w:bottom w:w="0" w:type="dxa"/>
              <w:right w:w="108" w:type="dxa"/>
            </w:tcMar>
            <w:vAlign w:val="center"/>
          </w:tcPr>
          <w:p>
            <w:pPr>
              <w:jc w:val="center"/>
              <w:rPr>
                <w:rFonts w:hint="eastAsia" w:cs="宋体" w:asciiTheme="minorEastAsia" w:hAnsiTheme="minorEastAsia" w:eastAsiaTheme="minorEastAsia"/>
                <w:color w:val="000000" w:themeColor="text1"/>
                <w:kern w:val="0"/>
                <w:sz w:val="28"/>
                <w:szCs w:val="28"/>
                <w:lang w:eastAsia="zh-CN"/>
              </w:rPr>
            </w:pPr>
            <w:r>
              <w:rPr>
                <w:rFonts w:hint="eastAsia" w:cs="宋体" w:asciiTheme="minorEastAsia" w:hAnsiTheme="minorEastAsia" w:eastAsiaTheme="minorEastAsia"/>
                <w:color w:val="000000" w:themeColor="text1"/>
                <w:kern w:val="0"/>
                <w:sz w:val="28"/>
                <w:szCs w:val="28"/>
                <w:lang w:val="en-US" w:eastAsia="zh-CN"/>
              </w:rPr>
              <w:t>3</w:t>
            </w:r>
          </w:p>
        </w:tc>
        <w:tc>
          <w:tcPr>
            <w:tcW w:w="1216"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专家评分</w:t>
            </w:r>
          </w:p>
        </w:tc>
        <w:tc>
          <w:tcPr>
            <w:tcW w:w="5871" w:type="dxa"/>
            <w:tcMar>
              <w:top w:w="0" w:type="dxa"/>
              <w:left w:w="108" w:type="dxa"/>
              <w:bottom w:w="0" w:type="dxa"/>
              <w:right w:w="108" w:type="dxa"/>
            </w:tcMar>
          </w:tcPr>
          <w:p>
            <w:pPr>
              <w:spacing w:line="460" w:lineRule="exact"/>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投标人提供自有或租赁经营场所面积为≥300平方米（含）以上得</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分；在300（含）-200（不含）平方米得</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分；在200（含）-100（不含）平方米得</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分；（须提供房产证或租赁合同证明资料复印件并加盖投标单位公章，原件备查。）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3" w:hRule="atLeast"/>
          <w:jc w:val="center"/>
        </w:trPr>
        <w:tc>
          <w:tcPr>
            <w:tcW w:w="515" w:type="dxa"/>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3</w:t>
            </w:r>
          </w:p>
        </w:tc>
        <w:tc>
          <w:tcPr>
            <w:tcW w:w="130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项目业绩</w:t>
            </w:r>
          </w:p>
        </w:tc>
        <w:tc>
          <w:tcPr>
            <w:tcW w:w="71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8</w:t>
            </w:r>
          </w:p>
        </w:tc>
        <w:tc>
          <w:tcPr>
            <w:tcW w:w="1216"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专家评分</w:t>
            </w:r>
          </w:p>
        </w:tc>
        <w:tc>
          <w:tcPr>
            <w:tcW w:w="5871" w:type="dxa"/>
            <w:tcMar>
              <w:top w:w="0" w:type="dxa"/>
              <w:left w:w="108" w:type="dxa"/>
              <w:bottom w:w="0" w:type="dxa"/>
              <w:right w:w="108" w:type="dxa"/>
            </w:tcMar>
          </w:tcPr>
          <w:p>
            <w:pPr>
              <w:spacing w:line="460" w:lineRule="exact"/>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投标人提供2019年1月1日至本项目招标公告发布日（以合同签订日期为准），投标人具有与医疗机构</w:t>
            </w:r>
            <w:r>
              <w:rPr>
                <w:rFonts w:hint="eastAsia" w:asciiTheme="minorEastAsia" w:hAnsiTheme="minorEastAsia" w:eastAsiaTheme="minorEastAsia"/>
                <w:sz w:val="28"/>
                <w:szCs w:val="28"/>
                <w:lang w:eastAsia="zh-CN"/>
              </w:rPr>
              <w:t>同类项目</w:t>
            </w:r>
            <w:r>
              <w:rPr>
                <w:rFonts w:hint="eastAsia" w:asciiTheme="minorEastAsia" w:hAnsiTheme="minorEastAsia" w:eastAsiaTheme="minorEastAsia"/>
                <w:sz w:val="28"/>
                <w:szCs w:val="28"/>
              </w:rPr>
              <w:t>业绩，每提供一个项目得2分，最高得8分。</w:t>
            </w:r>
          </w:p>
          <w:p>
            <w:pPr>
              <w:spacing w:line="460" w:lineRule="exact"/>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评分依据：提供中标通知书或合同关键页复印件或扫描件加盖投标人公章，原件备查，不清晰或未提供不得分。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3" w:hRule="atLeast"/>
          <w:jc w:val="center"/>
        </w:trPr>
        <w:tc>
          <w:tcPr>
            <w:tcW w:w="515" w:type="dxa"/>
            <w:tcMar>
              <w:top w:w="0" w:type="dxa"/>
              <w:left w:w="108" w:type="dxa"/>
              <w:bottom w:w="0" w:type="dxa"/>
              <w:right w:w="108" w:type="dxa"/>
            </w:tcMar>
            <w:vAlign w:val="center"/>
          </w:tcPr>
          <w:p>
            <w:pPr>
              <w:widowControl/>
              <w:wordWrap w:val="0"/>
              <w:spacing w:line="260" w:lineRule="atLeast"/>
              <w:jc w:val="center"/>
              <w:rPr>
                <w:rFonts w:hint="eastAsia"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4</w:t>
            </w:r>
          </w:p>
        </w:tc>
        <w:tc>
          <w:tcPr>
            <w:tcW w:w="1303" w:type="dxa"/>
            <w:tcMar>
              <w:top w:w="0" w:type="dxa"/>
              <w:left w:w="108" w:type="dxa"/>
              <w:bottom w:w="0" w:type="dxa"/>
              <w:right w:w="108" w:type="dxa"/>
            </w:tcMar>
            <w:vAlign w:val="center"/>
          </w:tcPr>
          <w:p>
            <w:pPr>
              <w:jc w:val="center"/>
              <w:rPr>
                <w:rFonts w:hint="eastAsia"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生产企业认证资质</w:t>
            </w:r>
          </w:p>
        </w:tc>
        <w:tc>
          <w:tcPr>
            <w:tcW w:w="713" w:type="dxa"/>
            <w:tcMar>
              <w:top w:w="0" w:type="dxa"/>
              <w:left w:w="108" w:type="dxa"/>
              <w:bottom w:w="0" w:type="dxa"/>
              <w:right w:w="108" w:type="dxa"/>
            </w:tcMar>
            <w:vAlign w:val="center"/>
          </w:tcPr>
          <w:p>
            <w:pPr>
              <w:jc w:val="center"/>
              <w:rPr>
                <w:rFonts w:hint="eastAsia"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6</w:t>
            </w:r>
          </w:p>
        </w:tc>
        <w:tc>
          <w:tcPr>
            <w:tcW w:w="1216" w:type="dxa"/>
            <w:tcMar>
              <w:top w:w="0" w:type="dxa"/>
              <w:left w:w="108" w:type="dxa"/>
              <w:bottom w:w="0" w:type="dxa"/>
              <w:right w:w="108" w:type="dxa"/>
            </w:tcMar>
            <w:vAlign w:val="center"/>
          </w:tcPr>
          <w:p>
            <w:pPr>
              <w:jc w:val="center"/>
              <w:rPr>
                <w:rFonts w:hint="eastAsia"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专家评分</w:t>
            </w:r>
          </w:p>
        </w:tc>
        <w:tc>
          <w:tcPr>
            <w:tcW w:w="5871" w:type="dxa"/>
            <w:tcMar>
              <w:top w:w="0" w:type="dxa"/>
              <w:left w:w="108" w:type="dxa"/>
              <w:bottom w:w="0" w:type="dxa"/>
              <w:right w:w="108" w:type="dxa"/>
            </w:tcMar>
          </w:tcPr>
          <w:p>
            <w:pPr>
              <w:spacing w:line="340" w:lineRule="exact"/>
              <w:jc w:val="left"/>
              <w:rPr>
                <w:rFonts w:hint="eastAsia" w:asciiTheme="minorEastAsia" w:hAnsiTheme="minorEastAsia" w:eastAsiaTheme="minorEastAsia"/>
                <w:sz w:val="28"/>
                <w:szCs w:val="28"/>
              </w:rPr>
            </w:pPr>
            <w:r>
              <w:rPr>
                <w:rFonts w:hint="eastAsia" w:cs="宋体" w:asciiTheme="minorEastAsia" w:hAnsiTheme="minorEastAsia" w:eastAsiaTheme="minorEastAsia"/>
                <w:color w:val="000000" w:themeColor="text1"/>
                <w:kern w:val="0"/>
                <w:sz w:val="28"/>
                <w:szCs w:val="28"/>
                <w:lang w:eastAsia="zh-CN"/>
              </w:rPr>
              <w:t>投标人</w:t>
            </w:r>
            <w:r>
              <w:rPr>
                <w:rFonts w:hint="eastAsia" w:cs="宋体" w:asciiTheme="minorEastAsia" w:hAnsiTheme="minorEastAsia" w:eastAsiaTheme="minorEastAsia"/>
                <w:color w:val="000000" w:themeColor="text1"/>
                <w:kern w:val="0"/>
                <w:sz w:val="28"/>
                <w:szCs w:val="28"/>
              </w:rPr>
              <w:t>提</w:t>
            </w:r>
            <w:r>
              <w:rPr>
                <w:rFonts w:hint="eastAsia" w:asciiTheme="minorEastAsia" w:hAnsiTheme="minorEastAsia" w:eastAsiaTheme="minorEastAsia"/>
                <w:sz w:val="28"/>
                <w:szCs w:val="28"/>
              </w:rPr>
              <w:t>供</w:t>
            </w:r>
          </w:p>
          <w:p>
            <w:pPr>
              <w:spacing w:line="3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ISO9001质量管理体系认证证书</w:t>
            </w:r>
            <w:r>
              <w:rPr>
                <w:rFonts w:hint="eastAsia" w:asciiTheme="minorEastAsia" w:hAnsiTheme="minorEastAsia" w:eastAsiaTheme="minorEastAsia"/>
                <w:sz w:val="28"/>
                <w:szCs w:val="28"/>
                <w:lang w:eastAsia="zh-CN"/>
              </w:rPr>
              <w:t>；</w:t>
            </w:r>
          </w:p>
          <w:p>
            <w:pPr>
              <w:spacing w:line="340" w:lineRule="exact"/>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ISO13485医疗器械质量管理体系认证证书、</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售后服务认证证书</w:t>
            </w:r>
            <w:r>
              <w:rPr>
                <w:rFonts w:hint="eastAsia" w:asciiTheme="minorEastAsia" w:hAnsiTheme="minorEastAsia" w:eastAsiaTheme="minorEastAsia"/>
                <w:sz w:val="28"/>
                <w:szCs w:val="28"/>
                <w:lang w:eastAsia="zh-CN"/>
              </w:rPr>
              <w:t>；</w:t>
            </w:r>
          </w:p>
          <w:p>
            <w:pPr>
              <w:spacing w:line="340" w:lineRule="exact"/>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企业AAA级信用等级证书。</w:t>
            </w:r>
          </w:p>
          <w:p>
            <w:pPr>
              <w:spacing w:line="340" w:lineRule="exact"/>
              <w:jc w:val="left"/>
              <w:rPr>
                <w:rFonts w:hint="eastAsia" w:cs="宋体" w:asciiTheme="minorEastAsia" w:hAnsiTheme="minorEastAsia" w:eastAsiaTheme="minorEastAsia"/>
                <w:color w:val="000000" w:themeColor="text1"/>
                <w:kern w:val="0"/>
                <w:sz w:val="28"/>
                <w:szCs w:val="28"/>
              </w:rPr>
            </w:pPr>
            <w:r>
              <w:rPr>
                <w:rFonts w:hint="eastAsia" w:asciiTheme="minorEastAsia" w:hAnsiTheme="minorEastAsia" w:eastAsiaTheme="minorEastAsia"/>
                <w:sz w:val="28"/>
                <w:szCs w:val="28"/>
              </w:rPr>
              <w:t>以上证书（</w:t>
            </w:r>
            <w:r>
              <w:rPr>
                <w:rFonts w:hint="eastAsia" w:asciiTheme="minorEastAsia" w:hAnsiTheme="minorEastAsia" w:eastAsiaTheme="minorEastAsia"/>
                <w:sz w:val="28"/>
                <w:szCs w:val="28"/>
                <w:lang w:eastAsia="zh-CN"/>
              </w:rPr>
              <w:t>在</w:t>
            </w:r>
            <w:r>
              <w:rPr>
                <w:rFonts w:hint="eastAsia" w:asciiTheme="minorEastAsia" w:hAnsiTheme="minorEastAsia" w:eastAsiaTheme="minorEastAsia"/>
                <w:sz w:val="28"/>
                <w:szCs w:val="28"/>
              </w:rPr>
              <w:t>有效期内）每提供一项得1.5分，满分6分，提供复印件</w:t>
            </w:r>
            <w:r>
              <w:rPr>
                <w:rFonts w:hint="eastAsia" w:asciiTheme="minorEastAsia" w:hAnsiTheme="minorEastAsia" w:eastAsiaTheme="minorEastAsia"/>
                <w:sz w:val="28"/>
                <w:szCs w:val="28"/>
                <w:lang w:eastAsia="zh-CN"/>
              </w:rPr>
              <w:t>并加盖投标人公章</w:t>
            </w:r>
            <w:r>
              <w:rPr>
                <w:rFonts w:hint="eastAsia" w:asciiTheme="minorEastAsia" w:hAnsiTheme="minorEastAsia" w:eastAsiaTheme="minorEastAsia"/>
                <w:sz w:val="28"/>
                <w:szCs w:val="28"/>
              </w:rPr>
              <w:t>，原件备查</w:t>
            </w:r>
            <w:r>
              <w:rPr>
                <w:rFonts w:hint="eastAsia" w:cs="宋体" w:asciiTheme="minorEastAsia" w:hAnsiTheme="minorEastAsia" w:eastAsiaTheme="minorEastAsia"/>
                <w:color w:val="000000" w:themeColor="text1"/>
                <w:kern w:val="0"/>
                <w:sz w:val="28"/>
                <w:szCs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32" w:hRule="atLeast"/>
          <w:jc w:val="center"/>
        </w:trPr>
        <w:tc>
          <w:tcPr>
            <w:tcW w:w="515"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4</w:t>
            </w:r>
          </w:p>
        </w:tc>
        <w:tc>
          <w:tcPr>
            <w:tcW w:w="130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诚信评价</w:t>
            </w:r>
          </w:p>
        </w:tc>
        <w:tc>
          <w:tcPr>
            <w:tcW w:w="713" w:type="dxa"/>
            <w:tcMar>
              <w:top w:w="0" w:type="dxa"/>
              <w:left w:w="108" w:type="dxa"/>
              <w:bottom w:w="0" w:type="dxa"/>
              <w:right w:w="108" w:type="dxa"/>
            </w:tcMar>
            <w:vAlign w:val="center"/>
          </w:tcPr>
          <w:p>
            <w:pPr>
              <w:jc w:val="center"/>
              <w:rPr>
                <w:rFonts w:hint="eastAsia" w:cs="宋体" w:asciiTheme="minorEastAsia" w:hAnsiTheme="minorEastAsia" w:eastAsiaTheme="minorEastAsia"/>
                <w:color w:val="000000" w:themeColor="text1"/>
                <w:sz w:val="28"/>
                <w:szCs w:val="28"/>
                <w:lang w:eastAsia="zh-CN"/>
              </w:rPr>
            </w:pPr>
            <w:r>
              <w:rPr>
                <w:rFonts w:hint="eastAsia" w:cs="宋体" w:asciiTheme="minorEastAsia" w:hAnsiTheme="minorEastAsia" w:eastAsiaTheme="minorEastAsia"/>
                <w:color w:val="000000" w:themeColor="text1"/>
                <w:sz w:val="28"/>
                <w:szCs w:val="28"/>
                <w:lang w:val="en-US" w:eastAsia="zh-CN"/>
              </w:rPr>
              <w:t>5</w:t>
            </w:r>
          </w:p>
        </w:tc>
        <w:tc>
          <w:tcPr>
            <w:tcW w:w="1216"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sz w:val="28"/>
                <w:szCs w:val="28"/>
              </w:rPr>
              <w:t>专家评分</w:t>
            </w:r>
          </w:p>
        </w:tc>
        <w:tc>
          <w:tcPr>
            <w:tcW w:w="5871" w:type="dxa"/>
            <w:tcMar>
              <w:top w:w="0" w:type="dxa"/>
              <w:left w:w="108" w:type="dxa"/>
              <w:bottom w:w="0" w:type="dxa"/>
              <w:right w:w="108" w:type="dxa"/>
            </w:tcMar>
          </w:tcPr>
          <w:p>
            <w:pPr>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根据《深圳市财政委员会关于加强招投标评审环节诚信管理的通知》（深财购[2017]35号）相关规定，投标人在参与政府采购活动中出现诚信相关问题且在相关主管部门处理措施实施期限内的本项不得分，否则得满分。</w:t>
            </w:r>
          </w:p>
          <w:p>
            <w:pPr>
              <w:keepNext w:val="0"/>
              <w:keepLines w:val="0"/>
              <w:pageBreakBefore w:val="0"/>
              <w:widowControl w:val="0"/>
              <w:kinsoku/>
              <w:wordWrap/>
              <w:overflowPunct/>
              <w:topLinePunct w:val="0"/>
              <w:bidi w:val="0"/>
              <w:snapToGrid/>
              <w:spacing w:line="360" w:lineRule="exact"/>
              <w:jc w:val="left"/>
              <w:textAlignment w:val="auto"/>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kern w:val="0"/>
                <w:sz w:val="28"/>
                <w:szCs w:val="28"/>
              </w:rPr>
              <w:t>提供《诚信承诺函》原件及提供网上截图并加盖投标人公章，未提供不得分</w:t>
            </w:r>
            <w:r>
              <w:rPr>
                <w:rFonts w:hint="eastAsia" w:cs="宋体" w:asciiTheme="minorEastAsia" w:hAnsiTheme="minorEastAsia" w:eastAsiaTheme="minorEastAsia"/>
                <w:snapToGrid w:val="0"/>
                <w:color w:val="000000" w:themeColor="text1"/>
                <w:kern w:val="0"/>
                <w:sz w:val="28"/>
                <w:szCs w:val="28"/>
              </w:rPr>
              <w:t>须按招标文件自拟格式提供《诚信承诺函》原件及</w:t>
            </w:r>
            <w:r>
              <w:rPr>
                <w:rFonts w:hint="eastAsia" w:cs="宋体" w:asciiTheme="minorEastAsia" w:hAnsiTheme="minorEastAsia" w:eastAsiaTheme="minorEastAsia"/>
                <w:kern w:val="0"/>
                <w:sz w:val="28"/>
                <w:szCs w:val="28"/>
              </w:rPr>
              <w:t>网上截图并加盖投标人公章，未提供不得分</w:t>
            </w:r>
            <w:r>
              <w:rPr>
                <w:rFonts w:hint="eastAsia" w:cs="宋体" w:asciiTheme="minorEastAsia" w:hAnsiTheme="minorEastAsia" w:eastAsiaTheme="minorEastAsia"/>
                <w:snapToGrid w:val="0"/>
                <w:color w:val="000000" w:themeColor="text1"/>
                <w:kern w:val="0"/>
                <w:sz w:val="28"/>
                <w:szCs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67" w:hRule="atLeast"/>
          <w:jc w:val="center"/>
        </w:trPr>
        <w:tc>
          <w:tcPr>
            <w:tcW w:w="515" w:type="dxa"/>
            <w:tcMar>
              <w:top w:w="0" w:type="dxa"/>
              <w:left w:w="108" w:type="dxa"/>
              <w:bottom w:w="0" w:type="dxa"/>
              <w:right w:w="108" w:type="dxa"/>
            </w:tcMar>
            <w:vAlign w:val="center"/>
          </w:tcPr>
          <w:p>
            <w:pPr>
              <w:widowControl/>
              <w:wordWrap w:val="0"/>
              <w:spacing w:line="20" w:lineRule="atLeast"/>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5</w:t>
            </w:r>
          </w:p>
        </w:tc>
        <w:tc>
          <w:tcPr>
            <w:tcW w:w="130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sz w:val="28"/>
                <w:szCs w:val="28"/>
              </w:rPr>
            </w:pPr>
            <w:r>
              <w:rPr>
                <w:rFonts w:hint="eastAsia" w:asciiTheme="minorEastAsia" w:hAnsiTheme="minorEastAsia" w:eastAsiaTheme="minorEastAsia"/>
                <w:sz w:val="28"/>
                <w:szCs w:val="28"/>
                <w:lang w:val="zh-CN"/>
              </w:rPr>
              <w:t>投标文件编制质量评价</w:t>
            </w:r>
          </w:p>
        </w:tc>
        <w:tc>
          <w:tcPr>
            <w:tcW w:w="713"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w:t>
            </w:r>
          </w:p>
        </w:tc>
        <w:tc>
          <w:tcPr>
            <w:tcW w:w="1216" w:type="dxa"/>
            <w:tcMar>
              <w:top w:w="0" w:type="dxa"/>
              <w:left w:w="108" w:type="dxa"/>
              <w:bottom w:w="0" w:type="dxa"/>
              <w:right w:w="108" w:type="dxa"/>
            </w:tcMar>
            <w:vAlign w:val="center"/>
          </w:tcPr>
          <w:p>
            <w:pPr>
              <w:jc w:val="center"/>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专家评分</w:t>
            </w:r>
          </w:p>
        </w:tc>
        <w:tc>
          <w:tcPr>
            <w:tcW w:w="5871" w:type="dxa"/>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cs="宋体" w:asciiTheme="minorEastAsia" w:hAnsiTheme="minorEastAsia" w:eastAsiaTheme="minorEastAsia"/>
                <w:snapToGrid w:val="0"/>
                <w:color w:val="000000" w:themeColor="text1"/>
                <w:kern w:val="0"/>
                <w:sz w:val="28"/>
                <w:szCs w:val="28"/>
              </w:rPr>
            </w:pPr>
            <w:r>
              <w:rPr>
                <w:rFonts w:hint="eastAsia" w:asciiTheme="minorEastAsia" w:hAnsiTheme="minorEastAsia" w:eastAsiaTheme="minorEastAsia"/>
                <w:sz w:val="28"/>
                <w:szCs w:val="28"/>
                <w:lang w:val="zh-CN"/>
              </w:rPr>
              <w:t>1、投标文件有缺漏项或出现前后不一致但未导致实质性偏离的；2、投标文件资料不清晰的；3、投标文件未按投标文件节点编排的；出现以上任意一种情况均为0分,无上述情况本项目得2分。</w:t>
            </w:r>
          </w:p>
        </w:tc>
      </w:tr>
    </w:tbl>
    <w:p>
      <w:pPr>
        <w:pStyle w:val="7"/>
        <w:numPr>
          <w:ilvl w:val="0"/>
          <w:numId w:val="1"/>
        </w:numPr>
        <w:shd w:val="clear" w:color="auto" w:fill="FFFFFF"/>
        <w:spacing w:line="560" w:lineRule="exact"/>
        <w:rPr>
          <w:rFonts w:ascii="仿宋" w:hAnsi="仿宋" w:eastAsia="仿宋"/>
          <w:b/>
          <w:sz w:val="32"/>
          <w:szCs w:val="32"/>
        </w:rPr>
      </w:pPr>
      <w:r>
        <w:rPr>
          <w:rFonts w:hint="eastAsia" w:ascii="黑体" w:hAnsi="黑体" w:eastAsia="黑体" w:cs="仿宋_GB2312"/>
          <w:b/>
          <w:kern w:val="0"/>
          <w:sz w:val="32"/>
          <w:szCs w:val="32"/>
          <w:lang w:val="en-US" w:eastAsia="zh-CN" w:bidi="ar-SA"/>
        </w:rPr>
        <w:t>项目预算</w:t>
      </w:r>
      <w:r>
        <w:rPr>
          <w:rFonts w:hint="eastAsia" w:ascii="仿宋" w:hAnsi="仿宋" w:eastAsia="仿宋"/>
          <w:b/>
          <w:sz w:val="32"/>
          <w:szCs w:val="32"/>
        </w:rPr>
        <w:t>：</w:t>
      </w:r>
      <w:r>
        <w:rPr>
          <w:rFonts w:hint="eastAsia" w:ascii="仿宋" w:hAnsi="仿宋" w:eastAsia="仿宋"/>
          <w:sz w:val="32"/>
          <w:szCs w:val="32"/>
        </w:rPr>
        <w:t>人民币</w:t>
      </w:r>
      <w:r>
        <w:rPr>
          <w:rFonts w:hint="eastAsia" w:ascii="仿宋" w:hAnsi="仿宋" w:eastAsia="仿宋"/>
          <w:sz w:val="32"/>
          <w:szCs w:val="32"/>
          <w:u w:val="single"/>
        </w:rPr>
        <w:t xml:space="preserve"> 25.5356</w:t>
      </w:r>
      <w:r>
        <w:rPr>
          <w:rFonts w:hint="eastAsia" w:ascii="仿宋" w:hAnsi="仿宋" w:eastAsia="仿宋"/>
          <w:sz w:val="32"/>
          <w:szCs w:val="32"/>
        </w:rPr>
        <w:t>万元。</w:t>
      </w:r>
    </w:p>
    <w:p>
      <w:pPr>
        <w:spacing w:line="360" w:lineRule="auto"/>
        <w:outlineLvl w:val="0"/>
        <w:rPr>
          <w:rFonts w:ascii="黑体" w:hAnsi="黑体" w:eastAsia="黑体" w:cs="仿宋_GB2312"/>
          <w:b/>
          <w:kern w:val="0"/>
          <w:sz w:val="32"/>
          <w:szCs w:val="32"/>
        </w:rPr>
      </w:pPr>
      <w:r>
        <w:rPr>
          <w:rFonts w:hint="eastAsia" w:ascii="黑体" w:hAnsi="黑体" w:eastAsia="黑体" w:cs="仿宋_GB2312"/>
          <w:b/>
          <w:kern w:val="0"/>
          <w:sz w:val="32"/>
          <w:szCs w:val="32"/>
        </w:rPr>
        <w:t>三、项目概况</w:t>
      </w:r>
    </w:p>
    <w:p>
      <w:pPr>
        <w:widowControl/>
        <w:spacing w:line="560" w:lineRule="exact"/>
        <w:ind w:firstLine="640" w:firstLineChars="200"/>
        <w:jc w:val="left"/>
        <w:rPr>
          <w:rFonts w:ascii="仿宋" w:hAnsi="仿宋" w:eastAsia="仿宋" w:cs="宋体"/>
          <w:sz w:val="32"/>
          <w:szCs w:val="32"/>
        </w:rPr>
      </w:pPr>
      <w:r>
        <w:rPr>
          <w:rFonts w:hint="eastAsia" w:ascii="仿宋_GB2312" w:hAnsi="仿宋" w:eastAsia="仿宋_GB2312"/>
          <w:sz w:val="32"/>
          <w:szCs w:val="32"/>
        </w:rPr>
        <w:t>我院静配中心的净化区域和辅助工作区域改造工程将竣工，为满足静配药物达到洁净要求，拟购置不锈钢制品一批。</w:t>
      </w:r>
    </w:p>
    <w:p>
      <w:pPr>
        <w:spacing w:line="360" w:lineRule="auto"/>
        <w:outlineLvl w:val="0"/>
        <w:rPr>
          <w:rFonts w:hint="eastAsia" w:ascii="黑体" w:hAnsi="黑体" w:eastAsia="黑体" w:cs="仿宋_GB2312"/>
          <w:b/>
          <w:kern w:val="0"/>
          <w:sz w:val="32"/>
          <w:szCs w:val="32"/>
        </w:rPr>
      </w:pPr>
    </w:p>
    <w:p>
      <w:pPr>
        <w:spacing w:line="360" w:lineRule="auto"/>
        <w:outlineLvl w:val="0"/>
        <w:rPr>
          <w:rFonts w:hint="eastAsia" w:ascii="黑体" w:hAnsi="黑体" w:eastAsia="黑体" w:cs="仿宋_GB2312"/>
          <w:b/>
          <w:kern w:val="0"/>
          <w:sz w:val="32"/>
          <w:szCs w:val="32"/>
        </w:rPr>
      </w:pPr>
    </w:p>
    <w:p>
      <w:pPr>
        <w:spacing w:line="360" w:lineRule="auto"/>
        <w:outlineLvl w:val="0"/>
        <w:rPr>
          <w:rFonts w:ascii="黑体" w:hAnsi="黑体" w:eastAsia="黑体" w:cs="仿宋_GB2312"/>
          <w:b/>
          <w:kern w:val="0"/>
          <w:sz w:val="32"/>
          <w:szCs w:val="32"/>
        </w:rPr>
      </w:pPr>
      <w:r>
        <w:rPr>
          <w:rFonts w:hint="eastAsia" w:ascii="黑体" w:hAnsi="黑体" w:eastAsia="黑体" w:cs="仿宋_GB2312"/>
          <w:b/>
          <w:kern w:val="0"/>
          <w:sz w:val="32"/>
          <w:szCs w:val="32"/>
        </w:rPr>
        <w:t>四、项目需求</w:t>
      </w:r>
    </w:p>
    <w:p>
      <w:pPr>
        <w:spacing w:line="360" w:lineRule="auto"/>
        <w:rPr>
          <w:rFonts w:cs="仿宋" w:asciiTheme="minorEastAsia" w:hAnsiTheme="minorEastAsia" w:eastAsiaTheme="minorEastAsia"/>
          <w:color w:val="212121"/>
          <w:sz w:val="24"/>
        </w:rPr>
      </w:pPr>
    </w:p>
    <w:p>
      <w:pPr>
        <w:spacing w:line="320" w:lineRule="exact"/>
        <w:rPr>
          <w:rFonts w:cs="仿宋" w:asciiTheme="minorEastAsia" w:hAnsiTheme="minorEastAsia" w:eastAsiaTheme="minorEastAsia"/>
          <w:sz w:val="24"/>
        </w:rPr>
      </w:pPr>
      <w:r>
        <w:rPr>
          <w:rFonts w:hint="eastAsia" w:cs="仿宋" w:asciiTheme="minorEastAsia" w:hAnsiTheme="minorEastAsia" w:eastAsiaTheme="minorEastAsia"/>
          <w:sz w:val="24"/>
        </w:rPr>
        <w:t>(一）货物清单：</w:t>
      </w:r>
    </w:p>
    <w:tbl>
      <w:tblPr>
        <w:tblStyle w:val="8"/>
        <w:tblW w:w="7902" w:type="dxa"/>
        <w:tblInd w:w="0" w:type="dxa"/>
        <w:tblLayout w:type="fixed"/>
        <w:tblCellMar>
          <w:top w:w="15" w:type="dxa"/>
          <w:left w:w="15" w:type="dxa"/>
          <w:bottom w:w="15" w:type="dxa"/>
          <w:right w:w="15" w:type="dxa"/>
        </w:tblCellMar>
      </w:tblPr>
      <w:tblGrid>
        <w:gridCol w:w="2361"/>
        <w:gridCol w:w="1437"/>
        <w:gridCol w:w="1856"/>
        <w:gridCol w:w="2248"/>
      </w:tblGrid>
      <w:tr>
        <w:tblPrEx>
          <w:tblCellMar>
            <w:top w:w="15" w:type="dxa"/>
            <w:left w:w="15" w:type="dxa"/>
            <w:bottom w:w="15" w:type="dxa"/>
            <w:right w:w="15" w:type="dxa"/>
          </w:tblCellMar>
        </w:tblPrEx>
        <w:trPr>
          <w:trHeight w:val="571" w:hRule="atLeast"/>
        </w:trPr>
        <w:tc>
          <w:tcPr>
            <w:tcW w:w="236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项目名称</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eastAsiaTheme="minorEastAsia"/>
                <w:sz w:val="24"/>
              </w:rPr>
            </w:pPr>
            <w:r>
              <w:rPr>
                <w:rFonts w:hint="eastAsia" w:cs="仿宋" w:asciiTheme="minorEastAsia" w:hAnsiTheme="minorEastAsia" w:eastAsiaTheme="minorEastAsia"/>
                <w:color w:val="000000"/>
                <w:kern w:val="0"/>
                <w:sz w:val="24"/>
              </w:rPr>
              <w:t>数量</w:t>
            </w:r>
          </w:p>
        </w:tc>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预算限额</w:t>
            </w:r>
            <w:r>
              <w:rPr>
                <w:rFonts w:hint="eastAsia" w:cs="仿宋" w:asciiTheme="minorEastAsia" w:hAnsiTheme="minorEastAsia" w:eastAsiaTheme="minorEastAsia"/>
                <w:color w:val="000000"/>
                <w:kern w:val="0"/>
                <w:sz w:val="24"/>
              </w:rPr>
              <w:br w:type="textWrapping"/>
            </w:r>
            <w:r>
              <w:rPr>
                <w:rFonts w:hint="eastAsia" w:cs="仿宋" w:asciiTheme="minorEastAsia" w:hAnsiTheme="minorEastAsia" w:eastAsiaTheme="minorEastAsia"/>
                <w:color w:val="000000"/>
                <w:kern w:val="0"/>
                <w:sz w:val="24"/>
              </w:rPr>
              <w:t>（万元）</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备注</w:t>
            </w:r>
          </w:p>
        </w:tc>
      </w:tr>
      <w:tr>
        <w:tblPrEx>
          <w:tblCellMar>
            <w:top w:w="15" w:type="dxa"/>
            <w:left w:w="15" w:type="dxa"/>
            <w:bottom w:w="15" w:type="dxa"/>
            <w:right w:w="15" w:type="dxa"/>
          </w:tblCellMar>
        </w:tblPrEx>
        <w:trPr>
          <w:trHeight w:val="1454" w:hRule="atLeast"/>
        </w:trPr>
        <w:tc>
          <w:tcPr>
            <w:tcW w:w="236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不锈钢制品</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eastAsiaTheme="minorEastAsia"/>
                <w:sz w:val="24"/>
              </w:rPr>
            </w:pPr>
            <w:r>
              <w:rPr>
                <w:rFonts w:hint="eastAsia" w:cs="仿宋" w:asciiTheme="minorEastAsia" w:hAnsiTheme="minorEastAsia" w:eastAsiaTheme="minorEastAsia"/>
                <w:sz w:val="24"/>
              </w:rPr>
              <w:t>1批</w:t>
            </w:r>
          </w:p>
        </w:tc>
        <w:tc>
          <w:tcPr>
            <w:tcW w:w="1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25.5356</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s="仿宋" w:asciiTheme="minorEastAsia" w:hAnsiTheme="minorEastAsia" w:eastAsiaTheme="minorEastAsia"/>
                <w:color w:val="000000"/>
                <w:sz w:val="24"/>
                <w:lang w:eastAsia="zh-CN"/>
              </w:rPr>
            </w:pPr>
            <w:r>
              <w:rPr>
                <w:rFonts w:hint="eastAsia" w:cs="仿宋" w:asciiTheme="minorEastAsia" w:hAnsiTheme="minorEastAsia" w:eastAsiaTheme="minorEastAsia"/>
                <w:color w:val="000000"/>
                <w:sz w:val="24"/>
              </w:rPr>
              <w:t>不接受进口</w:t>
            </w:r>
            <w:r>
              <w:rPr>
                <w:rFonts w:hint="eastAsia" w:cs="仿宋" w:asciiTheme="minorEastAsia" w:hAnsiTheme="minorEastAsia" w:eastAsiaTheme="minorEastAsia"/>
                <w:color w:val="000000"/>
                <w:sz w:val="24"/>
                <w:lang w:eastAsia="zh-CN"/>
              </w:rPr>
              <w:t>产品</w:t>
            </w:r>
          </w:p>
        </w:tc>
      </w:tr>
    </w:tbl>
    <w:p>
      <w:pPr>
        <w:spacing w:line="360" w:lineRule="auto"/>
        <w:rPr>
          <w:rFonts w:cs="仿宋" w:asciiTheme="minorEastAsia" w:hAnsiTheme="minorEastAsia" w:eastAsiaTheme="minorEastAsia"/>
          <w:sz w:val="24"/>
        </w:rPr>
      </w:pPr>
    </w:p>
    <w:p>
      <w:pPr>
        <w:spacing w:line="360" w:lineRule="auto"/>
        <w:jc w:val="left"/>
        <w:rPr>
          <w:rFonts w:cs="仿宋" w:asciiTheme="minorEastAsia" w:hAnsiTheme="minorEastAsia" w:eastAsiaTheme="minorEastAsia"/>
          <w:sz w:val="24"/>
        </w:rPr>
      </w:pPr>
      <w:r>
        <w:rPr>
          <w:rFonts w:hint="eastAsia" w:cs="仿宋" w:asciiTheme="minorEastAsia" w:hAnsiTheme="minorEastAsia" w:eastAsiaTheme="minorEastAsia"/>
          <w:sz w:val="24"/>
        </w:rPr>
        <w:t>（二）具体技术要求：</w:t>
      </w: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5"/>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28" w:type="dxa"/>
            <w:vAlign w:val="center"/>
          </w:tcPr>
          <w:p>
            <w:pPr>
              <w:spacing w:line="360" w:lineRule="exact"/>
              <w:jc w:val="left"/>
              <w:rPr>
                <w:rFonts w:cs="仿宋" w:asciiTheme="minorEastAsia" w:hAnsiTheme="minorEastAsia" w:eastAsiaTheme="minorEastAsia"/>
                <w:b/>
                <w:sz w:val="24"/>
              </w:rPr>
            </w:pPr>
            <w:r>
              <w:rPr>
                <w:rFonts w:hint="eastAsia" w:cs="仿宋" w:asciiTheme="minorEastAsia" w:hAnsiTheme="minorEastAsia" w:eastAsiaTheme="minorEastAsia"/>
                <w:b/>
                <w:sz w:val="24"/>
              </w:rPr>
              <w:t>数 量</w:t>
            </w:r>
          </w:p>
        </w:tc>
        <w:tc>
          <w:tcPr>
            <w:tcW w:w="1265" w:type="dxa"/>
            <w:vAlign w:val="center"/>
          </w:tcPr>
          <w:p>
            <w:pPr>
              <w:spacing w:line="360" w:lineRule="exact"/>
              <w:jc w:val="left"/>
              <w:rPr>
                <w:rFonts w:cs="仿宋" w:asciiTheme="minorEastAsia" w:hAnsiTheme="minorEastAsia" w:eastAsiaTheme="minorEastAsia"/>
                <w:b/>
                <w:sz w:val="24"/>
              </w:rPr>
            </w:pPr>
            <w:r>
              <w:rPr>
                <w:rFonts w:hint="eastAsia" w:cs="仿宋" w:asciiTheme="minorEastAsia" w:hAnsiTheme="minorEastAsia" w:eastAsiaTheme="minorEastAsia"/>
                <w:b/>
                <w:sz w:val="24"/>
              </w:rPr>
              <w:t>产品名称</w:t>
            </w:r>
          </w:p>
        </w:tc>
        <w:tc>
          <w:tcPr>
            <w:tcW w:w="7371" w:type="dxa"/>
            <w:vAlign w:val="center"/>
          </w:tcPr>
          <w:p>
            <w:pPr>
              <w:spacing w:line="360" w:lineRule="exac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 xml:space="preserve">主 要 技 术 参 </w:t>
            </w:r>
            <w:r>
              <w:rPr>
                <w:rFonts w:hint="eastAsia" w:cs="仿宋" w:asciiTheme="minorEastAsia" w:hAnsiTheme="minorEastAsia" w:eastAsiaTheme="minorEastAsia"/>
                <w:b/>
                <w:color w:val="00000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28" w:type="dxa"/>
            <w:vMerge w:val="restart"/>
            <w:vAlign w:val="center"/>
          </w:tcPr>
          <w:p>
            <w:pPr>
              <w:widowControl/>
              <w:spacing w:line="560" w:lineRule="exact"/>
              <w:jc w:val="left"/>
              <w:rPr>
                <w:rFonts w:hint="default" w:ascii="仿宋_GB2312" w:hAnsi="仿宋" w:eastAsia="仿宋_GB2312"/>
                <w:sz w:val="28"/>
                <w:szCs w:val="28"/>
                <w:lang w:val="en-US" w:eastAsia="zh-CN"/>
              </w:rPr>
            </w:pPr>
            <w:r>
              <w:rPr>
                <w:rFonts w:hint="eastAsia" w:ascii="仿宋_GB2312" w:hAnsi="仿宋" w:eastAsia="仿宋_GB2312"/>
                <w:sz w:val="28"/>
                <w:szCs w:val="28"/>
              </w:rPr>
              <w:t>3台</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1组）</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篮框清洗池</w:t>
            </w:r>
          </w:p>
        </w:tc>
        <w:tc>
          <w:tcPr>
            <w:tcW w:w="7371" w:type="dxa"/>
            <w:vAlign w:val="center"/>
          </w:tcPr>
          <w:p>
            <w:pPr>
              <w:widowControl/>
              <w:spacing w:line="560" w:lineRule="exac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2、规格：2000*650*800+150mm。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3、台面承重≥100kg，板厚≥30mm。台面须经防静电、抗摩擦工艺处理，达到防滑、防刮和静音的效果。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4、清洗池由四个清洗小池组成。每个规格为：400*450*250mm，配冷热专用出水系统，并配备有水流高压动力装置。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5、下层为镂空搁物架，方便存放物品，不积液。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6、投标人根据上述要求并结合临床使用科室实际场地的数据，绘制实施本项目的立体施工图，并用数字和文字加以说明（设计图纸原件备查）。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4台</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篮框晾晒架</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2、规格：1200*400*2000mm。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3、单层承重≥100kg，板厚≥30mm。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4、晾晒架由四层构成，采用镂空设计。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5、投标人根据上述要求并结合临床使用科室实际场地的数据，绘制实施本项目的立体施工图，并用数字和文字加以说明（设计图纸原件备查）。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20张</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手术圆凳</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2、四脚螺杆升降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3、配皮套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10台</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二层器械车</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2、规格：750*500*800+80mm。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3、每层均由三面围栏设计，台面须经防静电、抗摩擦工艺处理，达到防滑、防刮和静音的效果。</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4、投标人根据上述要求并结合临床使用科室实际场地的数据，绘制实施本项目的立体施工图，并用数字和文字加以说明（设计图纸原件备查）。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1台</w:t>
            </w:r>
          </w:p>
        </w:tc>
        <w:tc>
          <w:tcPr>
            <w:tcW w:w="1265" w:type="dxa"/>
            <w:vMerge w:val="restart"/>
            <w:vAlign w:val="center"/>
          </w:tcPr>
          <w:p>
            <w:pPr>
              <w:widowControl/>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审方间窗口台</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2、规格：600*300*300mm。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3、台面承重≥100kg，板厚≥30mm。台面须经防静电、抗摩擦工艺处理，达到防滑、防刮和静音的效果。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4、投标人根据上述要求并结合临床使用科室实际场地的数据，绘制实施本项目的立体施工图，并用数字和文字加以说明（设计图纸原件备查）。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2台</w:t>
            </w:r>
          </w:p>
        </w:tc>
        <w:tc>
          <w:tcPr>
            <w:tcW w:w="1265" w:type="dxa"/>
            <w:vMerge w:val="restart"/>
            <w:vAlign w:val="center"/>
          </w:tcPr>
          <w:p>
            <w:pPr>
              <w:widowControl/>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排药区操作台</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2、规格：2000*1200*900mm。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1265" w:type="dxa"/>
            <w:vMerge w:val="continue"/>
            <w:vAlign w:val="center"/>
          </w:tcPr>
          <w:p>
            <w:pPr>
              <w:widowControl/>
              <w:spacing w:line="560" w:lineRule="exact"/>
              <w:ind w:firstLine="560" w:firstLineChars="200"/>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3、台面承重≥100kg，板厚≥30mm。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spacing w:line="360" w:lineRule="exact"/>
              <w:jc w:val="left"/>
              <w:rPr>
                <w:rFonts w:cs="仿宋" w:asciiTheme="minorEastAsia" w:hAnsiTheme="minorEastAsia" w:eastAsiaTheme="minorEastAsia"/>
                <w:b/>
                <w:sz w:val="24"/>
              </w:rPr>
            </w:pPr>
          </w:p>
        </w:tc>
        <w:tc>
          <w:tcPr>
            <w:tcW w:w="1265" w:type="dxa"/>
            <w:vMerge w:val="continue"/>
            <w:vAlign w:val="center"/>
          </w:tcPr>
          <w:p>
            <w:pPr>
              <w:spacing w:line="360" w:lineRule="exact"/>
              <w:jc w:val="left"/>
              <w:rPr>
                <w:rFonts w:cs="仿宋" w:asciiTheme="minorEastAsia" w:hAnsiTheme="minorEastAsia" w:eastAsiaTheme="minorEastAsia"/>
                <w:b/>
                <w:sz w:val="24"/>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4、双层设计。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spacing w:line="360" w:lineRule="exact"/>
              <w:jc w:val="left"/>
              <w:rPr>
                <w:rFonts w:cs="仿宋" w:asciiTheme="minorEastAsia" w:hAnsiTheme="minorEastAsia" w:eastAsiaTheme="minorEastAsia"/>
                <w:b/>
                <w:sz w:val="24"/>
              </w:rPr>
            </w:pPr>
          </w:p>
        </w:tc>
        <w:tc>
          <w:tcPr>
            <w:tcW w:w="1265" w:type="dxa"/>
            <w:vMerge w:val="continue"/>
            <w:vAlign w:val="center"/>
          </w:tcPr>
          <w:p>
            <w:pPr>
              <w:spacing w:line="360" w:lineRule="exact"/>
              <w:jc w:val="left"/>
              <w:rPr>
                <w:rFonts w:cs="仿宋" w:asciiTheme="minorEastAsia" w:hAnsiTheme="minorEastAsia" w:eastAsiaTheme="minorEastAsia"/>
                <w:b/>
                <w:sz w:val="24"/>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5、投标人根据上述要求并结合临床使用科室实际场地的数据，绘制实施本项目的立体施工图，并用数字和文字加以说明（设计图纸原件备查）。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lang w:val="en-US" w:eastAsia="zh-CN"/>
              </w:rPr>
              <w:t>7</w:t>
            </w:r>
            <w:r>
              <w:rPr>
                <w:rFonts w:hint="eastAsia" w:ascii="仿宋_GB2312" w:hAnsi="仿宋" w:eastAsia="仿宋_GB2312"/>
                <w:sz w:val="28"/>
                <w:szCs w:val="28"/>
              </w:rPr>
              <w:t>台</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核对区操作台（小）</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spacing w:line="360" w:lineRule="exact"/>
              <w:jc w:val="left"/>
              <w:rPr>
                <w:rFonts w:cs="仿宋" w:asciiTheme="minorEastAsia" w:hAnsiTheme="minorEastAsia" w:eastAsiaTheme="minorEastAsia"/>
                <w:b/>
                <w:sz w:val="24"/>
              </w:rPr>
            </w:pPr>
          </w:p>
        </w:tc>
        <w:tc>
          <w:tcPr>
            <w:tcW w:w="1265" w:type="dxa"/>
            <w:vMerge w:val="continue"/>
            <w:vAlign w:val="center"/>
          </w:tcPr>
          <w:p>
            <w:pPr>
              <w:spacing w:line="360" w:lineRule="exact"/>
              <w:jc w:val="left"/>
              <w:rPr>
                <w:rFonts w:cs="仿宋" w:asciiTheme="minorEastAsia" w:hAnsiTheme="minorEastAsia" w:eastAsiaTheme="minorEastAsia"/>
                <w:b/>
                <w:sz w:val="24"/>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2、规格：1200*</w:t>
            </w:r>
            <w:r>
              <w:rPr>
                <w:rFonts w:hint="eastAsia" w:ascii="仿宋_GB2312" w:hAnsi="仿宋" w:eastAsia="仿宋_GB2312"/>
                <w:sz w:val="28"/>
                <w:szCs w:val="28"/>
                <w:lang w:val="en-US" w:eastAsia="zh-CN"/>
              </w:rPr>
              <w:t>4</w:t>
            </w:r>
            <w:r>
              <w:rPr>
                <w:rFonts w:hint="eastAsia" w:ascii="仿宋_GB2312" w:hAnsi="仿宋" w:eastAsia="仿宋_GB2312"/>
                <w:sz w:val="28"/>
                <w:szCs w:val="28"/>
              </w:rPr>
              <w:t>00*900mm。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spacing w:line="360" w:lineRule="exact"/>
              <w:jc w:val="left"/>
              <w:rPr>
                <w:rFonts w:cs="仿宋" w:asciiTheme="minorEastAsia" w:hAnsiTheme="minorEastAsia" w:eastAsiaTheme="minorEastAsia"/>
                <w:b/>
                <w:sz w:val="24"/>
              </w:rPr>
            </w:pPr>
          </w:p>
        </w:tc>
        <w:tc>
          <w:tcPr>
            <w:tcW w:w="1265" w:type="dxa"/>
            <w:vMerge w:val="continue"/>
            <w:vAlign w:val="center"/>
          </w:tcPr>
          <w:p>
            <w:pPr>
              <w:spacing w:line="360" w:lineRule="exact"/>
              <w:jc w:val="left"/>
              <w:rPr>
                <w:rFonts w:cs="仿宋" w:asciiTheme="minorEastAsia" w:hAnsiTheme="minorEastAsia" w:eastAsiaTheme="minorEastAsia"/>
                <w:b/>
                <w:sz w:val="24"/>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3、台面承重≥100kg，板厚≥30mm。台面须经防静电、抗摩擦工艺处理，达到防滑、防刮和静音的效果。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spacing w:line="360" w:lineRule="exact"/>
              <w:jc w:val="left"/>
              <w:rPr>
                <w:rFonts w:cs="仿宋" w:asciiTheme="minorEastAsia" w:hAnsiTheme="minorEastAsia" w:eastAsiaTheme="minorEastAsia"/>
                <w:b/>
                <w:sz w:val="24"/>
              </w:rPr>
            </w:pPr>
          </w:p>
        </w:tc>
        <w:tc>
          <w:tcPr>
            <w:tcW w:w="1265" w:type="dxa"/>
            <w:vMerge w:val="continue"/>
            <w:vAlign w:val="center"/>
          </w:tcPr>
          <w:p>
            <w:pPr>
              <w:spacing w:line="360" w:lineRule="exact"/>
              <w:jc w:val="left"/>
              <w:rPr>
                <w:rFonts w:cs="仿宋" w:asciiTheme="minorEastAsia" w:hAnsiTheme="minorEastAsia" w:eastAsiaTheme="minorEastAsia"/>
                <w:b/>
                <w:sz w:val="24"/>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4、双层设计。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spacing w:line="360" w:lineRule="exact"/>
              <w:jc w:val="left"/>
              <w:rPr>
                <w:rFonts w:cs="仿宋" w:asciiTheme="minorEastAsia" w:hAnsiTheme="minorEastAsia" w:eastAsiaTheme="minorEastAsia"/>
                <w:b/>
                <w:sz w:val="24"/>
              </w:rPr>
            </w:pPr>
          </w:p>
        </w:tc>
        <w:tc>
          <w:tcPr>
            <w:tcW w:w="1265" w:type="dxa"/>
            <w:vMerge w:val="continue"/>
            <w:vAlign w:val="center"/>
          </w:tcPr>
          <w:p>
            <w:pPr>
              <w:spacing w:line="360" w:lineRule="exact"/>
              <w:jc w:val="left"/>
              <w:rPr>
                <w:rFonts w:cs="仿宋" w:asciiTheme="minorEastAsia" w:hAnsiTheme="minorEastAsia" w:eastAsiaTheme="minorEastAsia"/>
                <w:b/>
                <w:sz w:val="24"/>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5、投标人根据上述要求并结合临床使用科室实际场地的数据，绘制实施本项目的立体施工图，并用数字和文字加以说明（设计图纸原件备查）。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lang w:val="en-US" w:eastAsia="zh-CN"/>
              </w:rPr>
              <w:t>8</w:t>
            </w:r>
            <w:r>
              <w:rPr>
                <w:rFonts w:hint="eastAsia" w:ascii="仿宋_GB2312" w:hAnsi="仿宋" w:eastAsia="仿宋_GB2312"/>
                <w:sz w:val="28"/>
                <w:szCs w:val="28"/>
              </w:rPr>
              <w:t>台</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核对区操作台（大）</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2、规格：1500*400*900mm。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3、台面承重≥100kg，板厚≥30mm。台面须经防静电、抗摩擦工艺处理，达到防滑、防刮和静音的效果。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4、双层设计。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5、投标人根据上述要求并结合临床使用科室实际场地的数据，绘制实施本项目的立体施工图，并用数字和文字加以说明（设计图纸原件备查）。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1台</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推车清洗池</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2、规格：1500*1500+300*250mm。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3、带排水口设计，并配备有水流高压动力装置。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4、投标人根据上述要求并结合临床使用科室实际场地的数据，绘制实施本项目的立体施工图，并用数字和文字加以说明（设计图纸原件备查）。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2台</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污物车</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2、规格：550*550*850mm。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3、配污物袋。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2台</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储物车</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1、整体采用CR304材料，一次整体成形，整体要求美观，内在坚固，使用方便，易清洁，设计科学，操作实用。工艺棱角分明而不刺手，焊接平滑无毛刺。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2、规格：1080*600*870mm。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3、上层储物柜为翻盖式设计，下层储物柜为对开门设计。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4、采用豪华6寸轮，静音耐磨。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5、投标人根据上述要求并结合临床使用科室实际场地的数据，绘制实施本项目的立体施工图，并用数字和文字加以说明（设计图纸原件备查）。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20台</w:t>
            </w:r>
          </w:p>
        </w:tc>
        <w:tc>
          <w:tcPr>
            <w:tcW w:w="1265" w:type="dxa"/>
            <w:vMerge w:val="restart"/>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无门药柜</w:t>
            </w: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1、整体采用CR304材料，非立柱结构。一次整体成形，柜体要求美观，内在坚固，使用方便，易清洁，设计科学，操作实用。工艺棱角分明而不刺手，焊接平滑无毛刺。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2、规格：1</w:t>
            </w:r>
            <w:r>
              <w:rPr>
                <w:rFonts w:hint="eastAsia" w:ascii="仿宋_GB2312" w:hAnsi="仿宋" w:eastAsia="仿宋_GB2312"/>
                <w:sz w:val="28"/>
                <w:szCs w:val="28"/>
                <w:lang w:val="en-US" w:eastAsia="zh-CN"/>
              </w:rPr>
              <w:t>0</w:t>
            </w:r>
            <w:r>
              <w:rPr>
                <w:rFonts w:hint="eastAsia" w:ascii="仿宋_GB2312" w:hAnsi="仿宋" w:eastAsia="仿宋_GB2312"/>
                <w:sz w:val="28"/>
                <w:szCs w:val="28"/>
              </w:rPr>
              <w:t>00*400*1980mm。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3、层板厚度为国标1.2mm.，侧板厚度为国标1.0mm。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4、除防湿层高为200mm外，其余高度均分5层隔柜，每层隔柜分3个体积相等、形状相同的药柜。隔板必须一次性成型而成，非拼接，下部暗藏辅力筋，使之坚固美观。防湿层四面密封防止灰尘和四害。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5、层板承重≥100kg,左侧配二组合金钩。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28" w:type="dxa"/>
            <w:vMerge w:val="continue"/>
            <w:vAlign w:val="center"/>
          </w:tcPr>
          <w:p>
            <w:pPr>
              <w:widowControl/>
              <w:spacing w:line="560" w:lineRule="exact"/>
              <w:jc w:val="left"/>
              <w:rPr>
                <w:rFonts w:ascii="仿宋_GB2312" w:hAnsi="仿宋" w:eastAsia="仿宋_GB2312"/>
                <w:sz w:val="28"/>
                <w:szCs w:val="28"/>
              </w:rPr>
            </w:pPr>
          </w:p>
        </w:tc>
        <w:tc>
          <w:tcPr>
            <w:tcW w:w="1265" w:type="dxa"/>
            <w:vMerge w:val="continue"/>
            <w:vAlign w:val="center"/>
          </w:tcPr>
          <w:p>
            <w:pPr>
              <w:widowControl/>
              <w:spacing w:line="560" w:lineRule="exact"/>
              <w:jc w:val="left"/>
              <w:rPr>
                <w:rFonts w:ascii="仿宋_GB2312" w:hAnsi="仿宋" w:eastAsia="仿宋_GB2312"/>
                <w:sz w:val="28"/>
                <w:szCs w:val="28"/>
              </w:rPr>
            </w:pPr>
          </w:p>
        </w:tc>
        <w:tc>
          <w:tcPr>
            <w:tcW w:w="7371" w:type="dxa"/>
            <w:vAlign w:val="center"/>
          </w:tcPr>
          <w:p>
            <w:pPr>
              <w:widowControl/>
              <w:spacing w:line="560" w:lineRule="exact"/>
              <w:jc w:val="left"/>
              <w:rPr>
                <w:rFonts w:ascii="仿宋_GB2312" w:hAnsi="仿宋" w:eastAsia="仿宋_GB2312"/>
                <w:sz w:val="28"/>
                <w:szCs w:val="28"/>
              </w:rPr>
            </w:pPr>
            <w:r>
              <w:rPr>
                <w:rFonts w:hint="eastAsia" w:ascii="仿宋_GB2312" w:hAnsi="仿宋" w:eastAsia="仿宋_GB2312"/>
                <w:sz w:val="28"/>
                <w:szCs w:val="28"/>
              </w:rPr>
              <w:t>6、投标人根据上述要求并结合临床使用科室实际场地的数据，绘制实施本项目的立体施工图，并用数字和文字加以说明（设计图纸原件备查）。</w:t>
            </w:r>
          </w:p>
        </w:tc>
      </w:tr>
    </w:tbl>
    <w:p>
      <w:pPr>
        <w:outlineLvl w:val="0"/>
        <w:rPr>
          <w:rFonts w:cs="仿宋" w:asciiTheme="minorEastAsia" w:hAnsiTheme="minorEastAsia" w:eastAsiaTheme="minorEastAsia"/>
          <w:b/>
          <w:sz w:val="24"/>
        </w:rPr>
      </w:pPr>
    </w:p>
    <w:p>
      <w:pPr>
        <w:snapToGrid w:val="0"/>
        <w:spacing w:line="520" w:lineRule="exact"/>
        <w:ind w:firstLine="643" w:firstLineChars="200"/>
        <w:rPr>
          <w:rFonts w:ascii="黑体" w:hAnsi="黑体" w:eastAsia="黑体" w:cs="仿宋_GB2312"/>
          <w:b/>
          <w:kern w:val="0"/>
          <w:sz w:val="32"/>
          <w:szCs w:val="32"/>
        </w:rPr>
      </w:pPr>
      <w:r>
        <w:rPr>
          <w:rFonts w:hint="eastAsia" w:ascii="黑体" w:hAnsi="黑体" w:eastAsia="黑体" w:cs="仿宋_GB2312"/>
          <w:b/>
          <w:kern w:val="0"/>
          <w:sz w:val="32"/>
          <w:szCs w:val="32"/>
        </w:rPr>
        <w:t>五、报价要求</w:t>
      </w:r>
    </w:p>
    <w:p>
      <w:pPr>
        <w:snapToGrid w:val="0"/>
        <w:spacing w:line="520" w:lineRule="exact"/>
        <w:ind w:firstLine="640" w:firstLineChars="200"/>
        <w:rPr>
          <w:rFonts w:ascii="仿宋" w:hAnsi="仿宋" w:eastAsia="仿宋" w:cs="仿宋"/>
          <w:b/>
          <w:bCs/>
          <w:sz w:val="32"/>
          <w:szCs w:val="32"/>
        </w:rPr>
      </w:pPr>
      <w:r>
        <w:rPr>
          <w:rFonts w:hint="eastAsia" w:ascii="仿宋_GB2312" w:hAnsi="仿宋" w:eastAsia="仿宋_GB2312"/>
          <w:sz w:val="32"/>
          <w:szCs w:val="32"/>
        </w:rPr>
        <w:t>（一）报价方式：人民币报价，本次招标采用总承包方式，因此投标人的报价应包括人工费、税费、运输费、安装费、设备费等所有的费用。</w:t>
      </w:r>
    </w:p>
    <w:p>
      <w:pPr>
        <w:widowControl/>
        <w:spacing w:line="560" w:lineRule="exact"/>
        <w:ind w:firstLine="640" w:firstLineChars="200"/>
        <w:rPr>
          <w:rFonts w:ascii="仿宋_GB2312" w:hAnsi="仿宋" w:eastAsia="仿宋_GB2312"/>
          <w:sz w:val="28"/>
          <w:szCs w:val="28"/>
        </w:rPr>
      </w:pPr>
      <w:r>
        <w:rPr>
          <w:rFonts w:hint="eastAsia" w:ascii="仿宋_GB2312" w:hAnsi="仿宋" w:eastAsia="仿宋_GB2312"/>
          <w:sz w:val="32"/>
          <w:szCs w:val="32"/>
        </w:rPr>
        <w:t>（二）投标人应根据本企业的成本自行决定报价。专家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专家应将其作为无效投标处理。</w:t>
      </w:r>
      <w:bookmarkStart w:id="0" w:name="_Toc28031"/>
    </w:p>
    <w:bookmarkEnd w:id="0"/>
    <w:p>
      <w:pPr>
        <w:spacing w:line="360" w:lineRule="auto"/>
        <w:ind w:firstLine="643" w:firstLineChars="200"/>
        <w:rPr>
          <w:rFonts w:ascii="宋体" w:hAnsi="宋体"/>
          <w:b/>
          <w:bCs/>
          <w:color w:val="000000"/>
          <w:sz w:val="32"/>
          <w:szCs w:val="32"/>
        </w:rPr>
      </w:pPr>
      <w:r>
        <w:rPr>
          <w:rFonts w:hint="eastAsia" w:ascii="黑体" w:hAnsi="黑体" w:eastAsia="黑体" w:cs="仿宋_GB2312"/>
          <w:b/>
          <w:sz w:val="32"/>
          <w:szCs w:val="32"/>
        </w:rPr>
        <w:t>六、交货要求</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（一）交货地点：产品交付、检验使用地点采购人指定地点。</w:t>
      </w:r>
    </w:p>
    <w:p>
      <w:pPr>
        <w:widowControl/>
        <w:spacing w:line="560" w:lineRule="exact"/>
        <w:ind w:left="319" w:leftChars="152" w:firstLine="320" w:firstLineChars="100"/>
        <w:rPr>
          <w:rFonts w:ascii="仿宋_GB2312" w:hAnsi="仿宋" w:eastAsia="仿宋_GB2312"/>
          <w:sz w:val="28"/>
          <w:szCs w:val="28"/>
        </w:rPr>
      </w:pPr>
      <w:r>
        <w:rPr>
          <w:rFonts w:hint="eastAsia" w:ascii="仿宋_GB2312" w:hAnsi="仿宋" w:eastAsia="仿宋_GB2312"/>
          <w:sz w:val="32"/>
          <w:szCs w:val="32"/>
        </w:rPr>
        <w:t>（二）包装要求：以保证货物的完好无损为标准。</w:t>
      </w:r>
    </w:p>
    <w:p>
      <w:pPr>
        <w:pStyle w:val="7"/>
        <w:shd w:val="clear" w:color="auto" w:fill="FFFFFF"/>
        <w:spacing w:line="560" w:lineRule="exact"/>
        <w:ind w:firstLine="643" w:firstLineChars="200"/>
        <w:rPr>
          <w:rFonts w:ascii="黑体" w:hAnsi="黑体" w:eastAsia="黑体" w:cs="仿宋_GB2312"/>
          <w:b/>
          <w:sz w:val="32"/>
          <w:szCs w:val="32"/>
        </w:rPr>
      </w:pPr>
      <w:r>
        <w:rPr>
          <w:rFonts w:hint="eastAsia" w:ascii="黑体" w:hAnsi="黑体" w:eastAsia="黑体" w:cs="仿宋_GB2312"/>
          <w:b/>
          <w:sz w:val="32"/>
          <w:szCs w:val="32"/>
        </w:rPr>
        <w:t>七、交货时间</w:t>
      </w:r>
    </w:p>
    <w:p>
      <w:pPr>
        <w:widowControl/>
        <w:spacing w:line="560" w:lineRule="exact"/>
        <w:ind w:left="319" w:leftChars="152" w:firstLine="320" w:firstLineChars="100"/>
        <w:rPr>
          <w:rFonts w:ascii="仿宋_GB2312" w:hAnsi="仿宋" w:eastAsia="仿宋_GB2312"/>
          <w:sz w:val="28"/>
          <w:szCs w:val="28"/>
        </w:rPr>
      </w:pPr>
      <w:r>
        <w:rPr>
          <w:rFonts w:hint="eastAsia" w:ascii="仿宋_GB2312" w:hAnsi="仿宋" w:eastAsia="仿宋_GB2312"/>
          <w:sz w:val="32"/>
          <w:szCs w:val="32"/>
        </w:rPr>
        <w:t>合同生效后，中标人接到进场通知后，须在25天内把货安装完毕，并安装调试使用。</w:t>
      </w:r>
    </w:p>
    <w:p>
      <w:pPr>
        <w:pStyle w:val="7"/>
        <w:shd w:val="clear" w:color="auto" w:fill="FFFFFF"/>
        <w:spacing w:line="560" w:lineRule="exact"/>
        <w:ind w:firstLine="643" w:firstLineChars="200"/>
        <w:rPr>
          <w:rFonts w:ascii="黑体" w:hAnsi="黑体" w:eastAsia="黑体" w:cs="仿宋_GB2312"/>
          <w:b/>
          <w:sz w:val="28"/>
          <w:szCs w:val="28"/>
        </w:rPr>
      </w:pPr>
      <w:r>
        <w:rPr>
          <w:rFonts w:hint="eastAsia" w:ascii="黑体" w:hAnsi="黑体" w:eastAsia="黑体" w:cs="仿宋_GB2312"/>
          <w:b/>
          <w:sz w:val="32"/>
          <w:szCs w:val="32"/>
        </w:rPr>
        <w:t>八、付款方式</w:t>
      </w:r>
    </w:p>
    <w:p>
      <w:pPr>
        <w:spacing w:line="480" w:lineRule="exact"/>
        <w:ind w:firstLine="630" w:firstLineChars="197"/>
        <w:rPr>
          <w:rFonts w:ascii="仿宋_GB2312" w:hAnsi="仿宋" w:eastAsia="仿宋_GB2312"/>
          <w:sz w:val="32"/>
          <w:szCs w:val="32"/>
        </w:rPr>
      </w:pPr>
      <w:r>
        <w:rPr>
          <w:rFonts w:hint="eastAsia" w:ascii="仿宋_GB2312" w:hAnsi="仿宋" w:eastAsia="仿宋_GB2312"/>
          <w:sz w:val="32"/>
          <w:szCs w:val="32"/>
        </w:rPr>
        <w:t xml:space="preserve">采用货到安装完工，出具验收清单，验收合格后转帐付款。 </w:t>
      </w:r>
    </w:p>
    <w:p>
      <w:pPr>
        <w:pStyle w:val="15"/>
        <w:spacing w:line="400" w:lineRule="exact"/>
        <w:ind w:firstLine="643"/>
        <w:rPr>
          <w:rFonts w:ascii="仿宋_GB2312" w:hAnsi="仿宋" w:eastAsia="仿宋_GB2312"/>
          <w:sz w:val="32"/>
          <w:szCs w:val="32"/>
        </w:rPr>
      </w:pPr>
      <w:r>
        <w:rPr>
          <w:rFonts w:hint="eastAsia" w:ascii="黑体" w:hAnsi="黑体" w:eastAsia="黑体" w:cs="仿宋_GB2312"/>
          <w:b/>
          <w:sz w:val="32"/>
          <w:szCs w:val="32"/>
        </w:rPr>
        <w:t>九、货物运输</w:t>
      </w:r>
    </w:p>
    <w:p>
      <w:pPr>
        <w:widowControl/>
        <w:spacing w:line="560" w:lineRule="exact"/>
        <w:ind w:firstLine="960" w:firstLineChars="300"/>
        <w:rPr>
          <w:rFonts w:ascii="仿宋_GB2312" w:hAnsi="仿宋" w:eastAsia="仿宋_GB2312"/>
          <w:sz w:val="28"/>
          <w:szCs w:val="28"/>
        </w:rPr>
      </w:pPr>
      <w:r>
        <w:rPr>
          <w:rFonts w:hint="eastAsia" w:ascii="仿宋_GB2312" w:hAnsi="仿宋" w:eastAsia="仿宋_GB2312"/>
          <w:sz w:val="32"/>
          <w:szCs w:val="32"/>
        </w:rPr>
        <w:t>商品运输：合同中所有的商品均须由中标人自行运往采购人指定地点，不论商品从何处购置、采用何种方式运输，采购人不承担任何责任及相关费用。中标人应自行处理商品质量和数量短缺等问题。</w:t>
      </w:r>
    </w:p>
    <w:p>
      <w:pPr>
        <w:pStyle w:val="7"/>
        <w:shd w:val="clear" w:color="auto" w:fill="FFFFFF"/>
        <w:spacing w:line="560" w:lineRule="exact"/>
        <w:ind w:firstLine="643" w:firstLineChars="200"/>
        <w:rPr>
          <w:rFonts w:hint="eastAsia" w:ascii="黑体" w:hAnsi="黑体" w:eastAsia="黑体" w:cs="仿宋_GB2312"/>
          <w:b/>
          <w:sz w:val="32"/>
          <w:szCs w:val="32"/>
        </w:rPr>
      </w:pPr>
    </w:p>
    <w:p>
      <w:pPr>
        <w:pStyle w:val="7"/>
        <w:shd w:val="clear" w:color="auto" w:fill="FFFFFF"/>
        <w:spacing w:line="560" w:lineRule="exact"/>
        <w:ind w:firstLine="643" w:firstLineChars="200"/>
        <w:rPr>
          <w:rFonts w:asciiTheme="minorEastAsia" w:hAnsiTheme="minorEastAsia" w:eastAsiaTheme="minorEastAsia"/>
          <w:b/>
          <w:color w:val="FF0000"/>
          <w:sz w:val="32"/>
          <w:szCs w:val="32"/>
        </w:rPr>
      </w:pPr>
      <w:r>
        <w:rPr>
          <w:rFonts w:hint="eastAsia" w:ascii="黑体" w:hAnsi="黑体" w:eastAsia="黑体" w:cs="仿宋_GB2312"/>
          <w:b/>
          <w:sz w:val="32"/>
          <w:szCs w:val="32"/>
        </w:rPr>
        <w:t>十、验收及其他要求</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（一）当满足以下条件时，采购人才向中标人签发验收报告：</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1.中标人已按照合同规定提供了全部产品及完整的技术资料；</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2.货物符合招标文件的技术规格要求，性能满足要求；</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3.货物具备产品合格证。</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（二）由采购人和供货商共同进行验收。</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（三）经双方检验认可后，签订验收报告，产品质保期，由中标人提供产品保修文件。</w:t>
      </w:r>
    </w:p>
    <w:p>
      <w:pPr>
        <w:pStyle w:val="4"/>
        <w:ind w:firstLine="643" w:firstLineChars="200"/>
        <w:rPr>
          <w:rFonts w:hint="eastAsia" w:ascii="黑体" w:hAnsi="黑体" w:eastAsia="黑体" w:cs="仿宋_GB2312"/>
          <w:b/>
          <w:bCs w:val="0"/>
          <w:kern w:val="0"/>
          <w:sz w:val="32"/>
          <w:szCs w:val="32"/>
          <w:lang w:val="en-US" w:eastAsia="zh-CN" w:bidi="ar-SA"/>
        </w:rPr>
      </w:pPr>
      <w:r>
        <w:rPr>
          <w:rFonts w:hint="eastAsia" w:ascii="黑体" w:hAnsi="黑体" w:eastAsia="黑体" w:cs="仿宋_GB2312"/>
          <w:b/>
          <w:bCs w:val="0"/>
          <w:kern w:val="0"/>
          <w:sz w:val="32"/>
          <w:szCs w:val="32"/>
          <w:lang w:val="en-US" w:eastAsia="zh-CN" w:bidi="ar-SA"/>
        </w:rPr>
        <w:t>十一、履约保证金</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（一）中标人在签订本项目合同之日，向采购人指定的帐号提交履约保证金 5%。</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（二）如中标人或成交供应商未能履行合同规定的义务，采购人有权从履约保证金中取得补偿。履约保证金在一年质保期满后30天内无息退还中标或成交供应商。</w:t>
      </w:r>
    </w:p>
    <w:p>
      <w:pPr>
        <w:pStyle w:val="2"/>
      </w:pPr>
    </w:p>
    <w:p>
      <w:pPr>
        <w:pStyle w:val="7"/>
        <w:shd w:val="clear" w:color="auto" w:fill="FFFFFF"/>
        <w:spacing w:line="560" w:lineRule="exact"/>
        <w:ind w:firstLine="321" w:firstLineChars="100"/>
        <w:rPr>
          <w:rFonts w:hint="eastAsia" w:ascii="黑体" w:hAnsi="黑体" w:eastAsia="黑体" w:cs="仿宋_GB2312"/>
          <w:b/>
          <w:bCs w:val="0"/>
          <w:kern w:val="0"/>
          <w:sz w:val="32"/>
          <w:szCs w:val="32"/>
          <w:lang w:val="en-US" w:eastAsia="zh-CN" w:bidi="ar-SA"/>
        </w:rPr>
      </w:pPr>
      <w:r>
        <w:rPr>
          <w:rFonts w:hint="eastAsia" w:ascii="黑体" w:hAnsi="黑体" w:eastAsia="黑体" w:cs="仿宋_GB2312"/>
          <w:b/>
          <w:bCs w:val="0"/>
          <w:kern w:val="0"/>
          <w:sz w:val="32"/>
          <w:szCs w:val="32"/>
          <w:lang w:val="en-US" w:eastAsia="zh-CN" w:bidi="ar-SA"/>
        </w:rPr>
        <w:t>十二、售后服务的要求</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质保期：整个项目终身维护，质保期至少2年（以验收合格之日起计算），在保修期内（2年）出现故障、损坏，免费上门维修。保修期二年后，所产生更换配件时只收配件费用，其它不得收取。质保期从验收合格之日起计算，保修期从质保期满之日起计算，以投标人提供的承诺或售后服务条款为依据。（除该项目设备清单中注明的部分设备的售后服务要求外，其他设备按此执行）</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（二）响应时间：在质保期以内，接到用户通知时，1小时内作出响应，专业技术人员不超过12小时内上门服务，保证24小时服务支持。</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（三）提供生产厂家质量承诺，保证生产厂家的资质和后续服务。</w:t>
      </w:r>
    </w:p>
    <w:p>
      <w:pPr>
        <w:pStyle w:val="7"/>
        <w:shd w:val="clear" w:color="auto" w:fill="FFFFFF"/>
        <w:spacing w:line="560" w:lineRule="exact"/>
        <w:ind w:firstLine="321" w:firstLineChars="100"/>
        <w:rPr>
          <w:rFonts w:hint="eastAsia" w:ascii="黑体" w:hAnsi="黑体" w:eastAsia="黑体" w:cs="仿宋_GB2312"/>
          <w:b/>
          <w:bCs w:val="0"/>
          <w:kern w:val="0"/>
          <w:sz w:val="32"/>
          <w:szCs w:val="32"/>
          <w:lang w:val="en-US" w:eastAsia="zh-CN" w:bidi="ar-SA"/>
        </w:rPr>
      </w:pPr>
      <w:r>
        <w:rPr>
          <w:rFonts w:hint="eastAsia" w:ascii="黑体" w:hAnsi="黑体" w:eastAsia="黑体" w:cs="仿宋_GB2312"/>
          <w:b/>
          <w:bCs w:val="0"/>
          <w:kern w:val="0"/>
          <w:sz w:val="32"/>
          <w:szCs w:val="32"/>
          <w:lang w:val="en-US" w:eastAsia="zh-CN" w:bidi="ar-SA"/>
        </w:rPr>
        <w:t>十三、其他要求</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（一）接到订单后25日内供货。</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（二）如出现质量问题，中标人保证在接到通知1天内进行更换。</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（三）中标人应按其投标文件中的承诺，进行其他售后服务工作。</w:t>
      </w:r>
    </w:p>
    <w:p>
      <w:pPr>
        <w:widowControl/>
        <w:spacing w:line="560" w:lineRule="exact"/>
        <w:ind w:firstLine="321" w:firstLineChars="100"/>
        <w:rPr>
          <w:rFonts w:ascii="仿宋" w:hAnsi="仿宋" w:eastAsia="仿宋" w:cs="仿宋_GB2312"/>
          <w:b/>
          <w:kern w:val="0"/>
          <w:sz w:val="32"/>
          <w:szCs w:val="32"/>
        </w:rPr>
      </w:pPr>
      <w:r>
        <w:rPr>
          <w:rFonts w:hint="eastAsia" w:ascii="黑体" w:hAnsi="黑体" w:eastAsia="黑体" w:cs="仿宋_GB2312"/>
          <w:b/>
          <w:bCs w:val="0"/>
          <w:kern w:val="0"/>
          <w:sz w:val="32"/>
          <w:szCs w:val="32"/>
          <w:lang w:val="en-US" w:eastAsia="zh-CN" w:bidi="ar-SA"/>
        </w:rPr>
        <w:t>十四、注意事项</w:t>
      </w:r>
    </w:p>
    <w:p>
      <w:pPr>
        <w:widowControl/>
        <w:spacing w:line="560" w:lineRule="exact"/>
        <w:rPr>
          <w:rFonts w:ascii="仿宋" w:hAnsi="仿宋" w:eastAsia="仿宋"/>
          <w:sz w:val="32"/>
          <w:szCs w:val="32"/>
        </w:rPr>
      </w:pPr>
      <w:r>
        <w:rPr>
          <w:rFonts w:hint="eastAsia" w:ascii="仿宋" w:hAnsi="仿宋" w:eastAsia="仿宋"/>
          <w:sz w:val="32"/>
          <w:szCs w:val="32"/>
        </w:rPr>
        <w:t>（一）中标人不得将项目非法分包或转包给任何单位和个人。否则，采购单位有权即刻终止合同，并要求中标人赔偿相应损失。</w:t>
      </w:r>
    </w:p>
    <w:p>
      <w:pPr>
        <w:widowControl/>
        <w:spacing w:line="560" w:lineRule="exact"/>
        <w:rPr>
          <w:rFonts w:ascii="仿宋" w:hAnsi="仿宋" w:eastAsia="仿宋"/>
          <w:sz w:val="32"/>
          <w:szCs w:val="32"/>
        </w:rPr>
      </w:pPr>
      <w:r>
        <w:rPr>
          <w:rFonts w:hint="eastAsia" w:ascii="仿宋" w:hAnsi="仿宋" w:eastAsia="仿宋"/>
          <w:sz w:val="32"/>
          <w:szCs w:val="32"/>
        </w:rPr>
        <w:t>（二）投标人若认为招标文件的技术要求或其他要求有倾向性或不公正性，可在招标答疑阶段提出，以维护招标行为的公平、公正。</w:t>
      </w:r>
    </w:p>
    <w:p>
      <w:pPr>
        <w:widowControl/>
        <w:spacing w:line="560" w:lineRule="exact"/>
        <w:rPr>
          <w:rFonts w:ascii="仿宋" w:hAnsi="仿宋" w:eastAsia="仿宋"/>
          <w:sz w:val="32"/>
          <w:szCs w:val="32"/>
        </w:rPr>
      </w:pPr>
      <w:r>
        <w:rPr>
          <w:rFonts w:hint="eastAsia" w:ascii="仿宋" w:hAnsi="仿宋" w:eastAsia="仿宋"/>
          <w:sz w:val="32"/>
          <w:szCs w:val="32"/>
        </w:rPr>
        <w:t>（三）投标人使用的标准必须是国际公认或国家、或地方政府颁布的同等或更高的标准，如投标人使用的标准低于上述标准，评标委员会将有权不予接受，投标人必须列表将明显的差异详细说明。</w:t>
      </w:r>
    </w:p>
    <w:p>
      <w:pPr>
        <w:widowControl/>
        <w:spacing w:line="560" w:lineRule="exact"/>
        <w:rPr>
          <w:rFonts w:ascii="仿宋" w:hAnsi="仿宋" w:eastAsia="仿宋"/>
          <w:sz w:val="32"/>
          <w:szCs w:val="32"/>
        </w:rPr>
      </w:pPr>
      <w:r>
        <w:rPr>
          <w:rFonts w:hint="eastAsia" w:ascii="仿宋" w:hAnsi="仿宋" w:eastAsia="仿宋"/>
          <w:sz w:val="32"/>
          <w:szCs w:val="32"/>
        </w:rPr>
        <w:t>（四）投标人所提交的投标文件对技术参数和各项要求的响应应是列出具体内容。如果投标人只注明“符合”或“满足”，将被视为“不符合”，并可能严重影响评标结果。</w:t>
      </w:r>
    </w:p>
    <w:p>
      <w:pPr>
        <w:snapToGrid w:val="0"/>
        <w:spacing w:line="360" w:lineRule="auto"/>
        <w:jc w:val="center"/>
        <w:rPr>
          <w:rFonts w:ascii="仿宋" w:hAnsi="仿宋" w:eastAsia="仿宋"/>
          <w:b/>
          <w:sz w:val="32"/>
          <w:szCs w:val="32"/>
        </w:rPr>
      </w:pPr>
    </w:p>
    <w:p>
      <w:pPr>
        <w:snapToGrid w:val="0"/>
        <w:spacing w:line="360" w:lineRule="auto"/>
        <w:rPr>
          <w:rFonts w:ascii="仿宋" w:hAnsi="仿宋" w:eastAsia="仿宋"/>
          <w:b/>
          <w:sz w:val="32"/>
          <w:szCs w:val="32"/>
        </w:rPr>
      </w:pPr>
      <w:r>
        <w:rPr>
          <w:rFonts w:hint="eastAsia" w:ascii="仿宋" w:hAnsi="仿宋" w:eastAsia="仿宋"/>
          <w:b/>
          <w:sz w:val="32"/>
          <w:szCs w:val="32"/>
        </w:rPr>
        <w:t>附：</w:t>
      </w:r>
    </w:p>
    <w:p>
      <w:pPr>
        <w:snapToGrid w:val="0"/>
        <w:spacing w:line="360" w:lineRule="auto"/>
        <w:jc w:val="center"/>
        <w:rPr>
          <w:rFonts w:ascii="仿宋" w:hAnsi="仿宋" w:eastAsia="仿宋"/>
          <w:b/>
          <w:sz w:val="32"/>
          <w:szCs w:val="32"/>
        </w:rPr>
      </w:pPr>
      <w:r>
        <w:rPr>
          <w:rFonts w:hint="eastAsia" w:ascii="仿宋" w:hAnsi="仿宋" w:eastAsia="仿宋"/>
          <w:b/>
          <w:sz w:val="32"/>
          <w:szCs w:val="32"/>
        </w:rPr>
        <w:t>技术要求偏离表</w:t>
      </w:r>
    </w:p>
    <w:tbl>
      <w:tblPr>
        <w:tblStyle w:val="8"/>
        <w:tblW w:w="7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66"/>
        <w:gridCol w:w="1786"/>
        <w:gridCol w:w="1843"/>
        <w:gridCol w:w="1275"/>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9" w:type="dxa"/>
          </w:tcPr>
          <w:p>
            <w:pPr>
              <w:jc w:val="center"/>
              <w:rPr>
                <w:rFonts w:ascii="仿宋" w:hAnsi="仿宋" w:eastAsia="仿宋"/>
                <w:sz w:val="32"/>
                <w:szCs w:val="32"/>
              </w:rPr>
            </w:pPr>
            <w:r>
              <w:rPr>
                <w:rFonts w:hint="eastAsia" w:ascii="仿宋" w:hAnsi="仿宋" w:eastAsia="仿宋"/>
                <w:sz w:val="32"/>
                <w:szCs w:val="32"/>
              </w:rPr>
              <w:t>序号</w:t>
            </w:r>
          </w:p>
        </w:tc>
        <w:tc>
          <w:tcPr>
            <w:tcW w:w="766" w:type="dxa"/>
          </w:tcPr>
          <w:p>
            <w:pPr>
              <w:jc w:val="center"/>
              <w:rPr>
                <w:rFonts w:ascii="仿宋" w:hAnsi="仿宋" w:eastAsia="仿宋"/>
                <w:sz w:val="32"/>
                <w:szCs w:val="32"/>
              </w:rPr>
            </w:pPr>
            <w:r>
              <w:rPr>
                <w:rFonts w:hint="eastAsia" w:ascii="仿宋" w:hAnsi="仿宋" w:eastAsia="仿宋"/>
                <w:sz w:val="32"/>
                <w:szCs w:val="32"/>
              </w:rPr>
              <w:t>名称</w:t>
            </w:r>
          </w:p>
        </w:tc>
        <w:tc>
          <w:tcPr>
            <w:tcW w:w="1786" w:type="dxa"/>
          </w:tcPr>
          <w:p>
            <w:pPr>
              <w:jc w:val="center"/>
              <w:rPr>
                <w:rFonts w:ascii="仿宋" w:hAnsi="仿宋" w:eastAsia="仿宋"/>
                <w:sz w:val="32"/>
                <w:szCs w:val="32"/>
              </w:rPr>
            </w:pPr>
            <w:r>
              <w:rPr>
                <w:rFonts w:hint="eastAsia" w:ascii="仿宋" w:hAnsi="仿宋" w:eastAsia="仿宋"/>
                <w:sz w:val="32"/>
                <w:szCs w:val="32"/>
              </w:rPr>
              <w:t>招标技术要求</w:t>
            </w:r>
          </w:p>
        </w:tc>
        <w:tc>
          <w:tcPr>
            <w:tcW w:w="1843" w:type="dxa"/>
          </w:tcPr>
          <w:p>
            <w:pPr>
              <w:jc w:val="center"/>
              <w:rPr>
                <w:rFonts w:ascii="仿宋" w:hAnsi="仿宋" w:eastAsia="仿宋"/>
                <w:sz w:val="32"/>
                <w:szCs w:val="32"/>
              </w:rPr>
            </w:pPr>
            <w:r>
              <w:rPr>
                <w:rFonts w:hint="eastAsia" w:ascii="仿宋" w:hAnsi="仿宋" w:eastAsia="仿宋"/>
                <w:sz w:val="32"/>
                <w:szCs w:val="32"/>
              </w:rPr>
              <w:t>投标技术响应</w:t>
            </w:r>
          </w:p>
        </w:tc>
        <w:tc>
          <w:tcPr>
            <w:tcW w:w="1275" w:type="dxa"/>
          </w:tcPr>
          <w:p>
            <w:pPr>
              <w:jc w:val="center"/>
              <w:rPr>
                <w:rFonts w:ascii="仿宋" w:hAnsi="仿宋" w:eastAsia="仿宋"/>
                <w:sz w:val="32"/>
                <w:szCs w:val="32"/>
              </w:rPr>
            </w:pPr>
            <w:r>
              <w:rPr>
                <w:rFonts w:hint="eastAsia" w:ascii="仿宋" w:hAnsi="仿宋" w:eastAsia="仿宋"/>
                <w:sz w:val="32"/>
                <w:szCs w:val="32"/>
              </w:rPr>
              <w:t>偏离情况</w:t>
            </w:r>
          </w:p>
        </w:tc>
        <w:tc>
          <w:tcPr>
            <w:tcW w:w="1334" w:type="dxa"/>
          </w:tcPr>
          <w:p>
            <w:pPr>
              <w:jc w:val="center"/>
              <w:rPr>
                <w:rFonts w:ascii="仿宋" w:hAnsi="仿宋" w:eastAsia="仿宋"/>
                <w:sz w:val="32"/>
                <w:szCs w:val="32"/>
              </w:rPr>
            </w:pPr>
            <w:r>
              <w:rPr>
                <w:rFonts w:hint="eastAsia" w:ascii="仿宋" w:hAnsi="仿宋" w:eastAsia="仿宋"/>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9" w:type="dxa"/>
          </w:tcPr>
          <w:p>
            <w:pPr>
              <w:jc w:val="center"/>
              <w:rPr>
                <w:rFonts w:ascii="仿宋" w:hAnsi="仿宋" w:eastAsia="仿宋"/>
                <w:sz w:val="32"/>
                <w:szCs w:val="32"/>
              </w:rPr>
            </w:pPr>
          </w:p>
        </w:tc>
        <w:tc>
          <w:tcPr>
            <w:tcW w:w="766" w:type="dxa"/>
          </w:tcPr>
          <w:p>
            <w:pPr>
              <w:jc w:val="center"/>
              <w:rPr>
                <w:rFonts w:ascii="仿宋" w:hAnsi="仿宋" w:eastAsia="仿宋"/>
                <w:sz w:val="32"/>
                <w:szCs w:val="32"/>
              </w:rPr>
            </w:pPr>
          </w:p>
        </w:tc>
        <w:tc>
          <w:tcPr>
            <w:tcW w:w="1786" w:type="dxa"/>
          </w:tcPr>
          <w:p>
            <w:pPr>
              <w:jc w:val="center"/>
              <w:rPr>
                <w:rFonts w:ascii="仿宋" w:hAnsi="仿宋" w:eastAsia="仿宋"/>
                <w:sz w:val="32"/>
                <w:szCs w:val="32"/>
              </w:rPr>
            </w:pPr>
          </w:p>
        </w:tc>
        <w:tc>
          <w:tcPr>
            <w:tcW w:w="1843" w:type="dxa"/>
          </w:tcPr>
          <w:p>
            <w:pPr>
              <w:jc w:val="center"/>
              <w:rPr>
                <w:rFonts w:ascii="仿宋" w:hAnsi="仿宋" w:eastAsia="仿宋"/>
                <w:sz w:val="32"/>
                <w:szCs w:val="32"/>
              </w:rPr>
            </w:pPr>
          </w:p>
        </w:tc>
        <w:tc>
          <w:tcPr>
            <w:tcW w:w="1275" w:type="dxa"/>
          </w:tcPr>
          <w:p>
            <w:pPr>
              <w:jc w:val="center"/>
              <w:rPr>
                <w:rFonts w:ascii="仿宋" w:hAnsi="仿宋" w:eastAsia="仿宋"/>
                <w:sz w:val="32"/>
                <w:szCs w:val="32"/>
              </w:rPr>
            </w:pPr>
          </w:p>
        </w:tc>
        <w:tc>
          <w:tcPr>
            <w:tcW w:w="1334"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9" w:type="dxa"/>
          </w:tcPr>
          <w:p>
            <w:pPr>
              <w:jc w:val="center"/>
              <w:rPr>
                <w:rFonts w:ascii="仿宋" w:hAnsi="仿宋" w:eastAsia="仿宋"/>
                <w:sz w:val="32"/>
                <w:szCs w:val="32"/>
              </w:rPr>
            </w:pPr>
          </w:p>
        </w:tc>
        <w:tc>
          <w:tcPr>
            <w:tcW w:w="766" w:type="dxa"/>
          </w:tcPr>
          <w:p>
            <w:pPr>
              <w:jc w:val="center"/>
              <w:rPr>
                <w:rFonts w:ascii="仿宋" w:hAnsi="仿宋" w:eastAsia="仿宋"/>
                <w:sz w:val="32"/>
                <w:szCs w:val="32"/>
              </w:rPr>
            </w:pPr>
          </w:p>
        </w:tc>
        <w:tc>
          <w:tcPr>
            <w:tcW w:w="1786" w:type="dxa"/>
          </w:tcPr>
          <w:p>
            <w:pPr>
              <w:jc w:val="center"/>
              <w:rPr>
                <w:rFonts w:ascii="仿宋" w:hAnsi="仿宋" w:eastAsia="仿宋"/>
                <w:sz w:val="32"/>
                <w:szCs w:val="32"/>
              </w:rPr>
            </w:pPr>
          </w:p>
        </w:tc>
        <w:tc>
          <w:tcPr>
            <w:tcW w:w="1843" w:type="dxa"/>
          </w:tcPr>
          <w:p>
            <w:pPr>
              <w:jc w:val="center"/>
              <w:rPr>
                <w:rFonts w:ascii="仿宋" w:hAnsi="仿宋" w:eastAsia="仿宋"/>
                <w:sz w:val="32"/>
                <w:szCs w:val="32"/>
              </w:rPr>
            </w:pPr>
          </w:p>
        </w:tc>
        <w:tc>
          <w:tcPr>
            <w:tcW w:w="1275" w:type="dxa"/>
          </w:tcPr>
          <w:p>
            <w:pPr>
              <w:jc w:val="center"/>
              <w:rPr>
                <w:rFonts w:ascii="仿宋" w:hAnsi="仿宋" w:eastAsia="仿宋"/>
                <w:sz w:val="32"/>
                <w:szCs w:val="32"/>
              </w:rPr>
            </w:pPr>
          </w:p>
        </w:tc>
        <w:tc>
          <w:tcPr>
            <w:tcW w:w="1334"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9" w:type="dxa"/>
          </w:tcPr>
          <w:p>
            <w:pPr>
              <w:jc w:val="center"/>
              <w:rPr>
                <w:rFonts w:ascii="仿宋" w:hAnsi="仿宋" w:eastAsia="仿宋"/>
                <w:sz w:val="32"/>
                <w:szCs w:val="32"/>
              </w:rPr>
            </w:pPr>
          </w:p>
        </w:tc>
        <w:tc>
          <w:tcPr>
            <w:tcW w:w="766" w:type="dxa"/>
          </w:tcPr>
          <w:p>
            <w:pPr>
              <w:jc w:val="center"/>
              <w:rPr>
                <w:rFonts w:ascii="仿宋" w:hAnsi="仿宋" w:eastAsia="仿宋"/>
                <w:sz w:val="32"/>
                <w:szCs w:val="32"/>
              </w:rPr>
            </w:pPr>
          </w:p>
        </w:tc>
        <w:tc>
          <w:tcPr>
            <w:tcW w:w="1786" w:type="dxa"/>
          </w:tcPr>
          <w:p>
            <w:pPr>
              <w:jc w:val="center"/>
              <w:rPr>
                <w:rFonts w:ascii="仿宋" w:hAnsi="仿宋" w:eastAsia="仿宋"/>
                <w:sz w:val="32"/>
                <w:szCs w:val="32"/>
              </w:rPr>
            </w:pPr>
          </w:p>
        </w:tc>
        <w:tc>
          <w:tcPr>
            <w:tcW w:w="1843" w:type="dxa"/>
          </w:tcPr>
          <w:p>
            <w:pPr>
              <w:jc w:val="center"/>
              <w:rPr>
                <w:rFonts w:ascii="仿宋" w:hAnsi="仿宋" w:eastAsia="仿宋"/>
                <w:sz w:val="32"/>
                <w:szCs w:val="32"/>
              </w:rPr>
            </w:pPr>
          </w:p>
        </w:tc>
        <w:tc>
          <w:tcPr>
            <w:tcW w:w="1275" w:type="dxa"/>
          </w:tcPr>
          <w:p>
            <w:pPr>
              <w:jc w:val="center"/>
              <w:rPr>
                <w:rFonts w:ascii="仿宋" w:hAnsi="仿宋" w:eastAsia="仿宋"/>
                <w:sz w:val="32"/>
                <w:szCs w:val="32"/>
              </w:rPr>
            </w:pPr>
          </w:p>
        </w:tc>
        <w:tc>
          <w:tcPr>
            <w:tcW w:w="1334" w:type="dxa"/>
          </w:tcPr>
          <w:p>
            <w:pPr>
              <w:jc w:val="center"/>
              <w:rPr>
                <w:rFonts w:ascii="仿宋" w:hAnsi="仿宋" w:eastAsia="仿宋"/>
                <w:sz w:val="32"/>
                <w:szCs w:val="32"/>
              </w:rPr>
            </w:pPr>
          </w:p>
        </w:tc>
      </w:tr>
    </w:tbl>
    <w:p>
      <w:pPr>
        <w:spacing w:line="540" w:lineRule="exact"/>
        <w:ind w:left="424" w:leftChars="202"/>
        <w:rPr>
          <w:rFonts w:ascii="仿宋" w:hAnsi="仿宋" w:eastAsia="仿宋"/>
          <w:sz w:val="32"/>
          <w:szCs w:val="32"/>
        </w:rPr>
      </w:pPr>
      <w:r>
        <w:rPr>
          <w:rFonts w:hint="eastAsia" w:ascii="仿宋" w:hAnsi="仿宋" w:eastAsia="仿宋"/>
          <w:sz w:val="32"/>
          <w:szCs w:val="32"/>
        </w:rPr>
        <w:t>备注：1、“偏离情况”栏中应填写“正偏离”、“负偏离”或“无偏离”。</w:t>
      </w:r>
    </w:p>
    <w:p>
      <w:pPr>
        <w:spacing w:line="540" w:lineRule="exact"/>
        <w:ind w:left="424" w:leftChars="202"/>
        <w:rPr>
          <w:rFonts w:ascii="仿宋" w:hAnsi="仿宋" w:eastAsia="仿宋"/>
          <w:sz w:val="32"/>
          <w:szCs w:val="32"/>
        </w:rPr>
      </w:pPr>
      <w:r>
        <w:rPr>
          <w:rFonts w:hint="eastAsia" w:ascii="仿宋" w:hAnsi="仿宋" w:eastAsia="仿宋" w:cs="Arial"/>
          <w:bCs/>
        </w:rPr>
        <w:t xml:space="preserve">         </w:t>
      </w:r>
      <w:r>
        <w:rPr>
          <w:rFonts w:hint="eastAsia" w:ascii="仿宋" w:hAnsi="仿宋" w:eastAsia="仿宋"/>
          <w:sz w:val="32"/>
          <w:szCs w:val="32"/>
        </w:rPr>
        <w:t>2、“招标技术要求”一栏逐一列出，技术参数、规格。</w:t>
      </w:r>
    </w:p>
    <w:p>
      <w:pPr>
        <w:spacing w:line="540" w:lineRule="exact"/>
        <w:ind w:left="424" w:leftChars="202" w:firstLine="960" w:firstLineChars="300"/>
        <w:rPr>
          <w:rFonts w:ascii="仿宋" w:hAnsi="仿宋" w:eastAsia="仿宋"/>
          <w:sz w:val="32"/>
          <w:szCs w:val="32"/>
        </w:rPr>
      </w:pPr>
      <w:r>
        <w:rPr>
          <w:rFonts w:hint="eastAsia" w:ascii="仿宋" w:hAnsi="仿宋" w:eastAsia="仿宋"/>
          <w:sz w:val="32"/>
          <w:szCs w:val="32"/>
        </w:rPr>
        <w:t>3、项目技术要求”的内容；“投标技术响应”一栏必须详细填写具体的响应情况。</w:t>
      </w:r>
    </w:p>
    <w:p>
      <w:pPr>
        <w:widowControl/>
        <w:spacing w:line="560" w:lineRule="exact"/>
        <w:ind w:left="319" w:leftChars="152" w:firstLine="320" w:firstLineChars="100"/>
        <w:rPr>
          <w:rFonts w:ascii="仿宋" w:hAnsi="仿宋" w:eastAsia="仿宋"/>
          <w:sz w:val="32"/>
          <w:szCs w:val="32"/>
        </w:rPr>
      </w:pPr>
      <w:r>
        <w:rPr>
          <w:rFonts w:hint="eastAsia" w:ascii="仿宋" w:hAnsi="仿宋" w:eastAsia="仿宋"/>
          <w:sz w:val="32"/>
          <w:szCs w:val="32"/>
        </w:rPr>
        <w:t>（五）如投标人提交伪造资质证书、合同文件等投标文件的，一经发现我院将列入黑名单，不能再参与投标。</w:t>
      </w:r>
    </w:p>
    <w:p>
      <w:pPr>
        <w:widowControl/>
        <w:spacing w:line="560" w:lineRule="exact"/>
        <w:ind w:firstLine="643" w:firstLineChars="200"/>
        <w:rPr>
          <w:rFonts w:hint="eastAsia" w:ascii="黑体" w:hAnsi="黑体" w:eastAsia="黑体" w:cs="仿宋_GB2312"/>
          <w:b/>
          <w:bCs w:val="0"/>
          <w:kern w:val="0"/>
          <w:sz w:val="32"/>
          <w:szCs w:val="32"/>
          <w:lang w:val="en-US" w:eastAsia="zh-CN" w:bidi="ar-SA"/>
        </w:rPr>
      </w:pPr>
      <w:r>
        <w:rPr>
          <w:rFonts w:hint="eastAsia" w:ascii="黑体" w:hAnsi="黑体" w:eastAsia="黑体" w:cs="仿宋_GB2312"/>
          <w:b/>
          <w:bCs w:val="0"/>
          <w:kern w:val="0"/>
          <w:sz w:val="32"/>
          <w:szCs w:val="32"/>
          <w:lang w:val="en-US" w:eastAsia="zh-CN" w:bidi="ar-SA"/>
        </w:rPr>
        <w:t>十五、供应商须知</w:t>
      </w:r>
    </w:p>
    <w:p>
      <w:pPr>
        <w:widowControl/>
        <w:spacing w:line="560" w:lineRule="exact"/>
        <w:ind w:left="319" w:leftChars="152" w:firstLine="320" w:firstLineChars="100"/>
        <w:rPr>
          <w:rFonts w:ascii="仿宋" w:hAnsi="仿宋" w:eastAsia="仿宋"/>
          <w:sz w:val="32"/>
          <w:szCs w:val="32"/>
        </w:rPr>
      </w:pPr>
      <w:r>
        <w:rPr>
          <w:rFonts w:hint="eastAsia" w:ascii="仿宋" w:hAnsi="仿宋" w:eastAsia="仿宋"/>
          <w:sz w:val="32"/>
          <w:szCs w:val="32"/>
        </w:rPr>
        <w:t>（一）所有资料要有封面、目录、页码、装订成册。</w:t>
      </w:r>
    </w:p>
    <w:p>
      <w:pPr>
        <w:widowControl/>
        <w:spacing w:line="560" w:lineRule="exact"/>
        <w:ind w:left="319" w:leftChars="152" w:firstLine="320" w:firstLineChars="100"/>
        <w:rPr>
          <w:rFonts w:ascii="仿宋" w:hAnsi="仿宋" w:eastAsia="仿宋"/>
          <w:sz w:val="32"/>
          <w:szCs w:val="32"/>
        </w:rPr>
      </w:pPr>
      <w:r>
        <w:rPr>
          <w:rFonts w:hint="eastAsia" w:ascii="仿宋" w:hAnsi="仿宋" w:eastAsia="仿宋"/>
          <w:sz w:val="32"/>
          <w:szCs w:val="32"/>
        </w:rPr>
        <w:t>（二）所有资料每页须加盖公章。</w:t>
      </w:r>
    </w:p>
    <w:p>
      <w:pPr>
        <w:widowControl/>
        <w:spacing w:line="560" w:lineRule="exact"/>
        <w:ind w:left="319" w:leftChars="152" w:firstLine="320" w:firstLineChars="100"/>
        <w:rPr>
          <w:rFonts w:ascii="仿宋" w:hAnsi="仿宋" w:eastAsia="仿宋"/>
          <w:sz w:val="32"/>
          <w:szCs w:val="32"/>
        </w:rPr>
      </w:pPr>
      <w:r>
        <w:rPr>
          <w:rFonts w:hint="eastAsia" w:ascii="仿宋" w:hAnsi="仿宋" w:eastAsia="仿宋"/>
          <w:sz w:val="32"/>
          <w:szCs w:val="32"/>
        </w:rPr>
        <w:t>（三）所有资料须密封并加盖公章。</w:t>
      </w:r>
    </w:p>
    <w:p>
      <w:pPr>
        <w:widowControl/>
        <w:spacing w:line="560" w:lineRule="exact"/>
        <w:ind w:left="319" w:leftChars="152" w:firstLine="320" w:firstLineChars="100"/>
        <w:rPr>
          <w:rFonts w:ascii="仿宋" w:hAnsi="仿宋" w:eastAsia="仿宋"/>
          <w:sz w:val="32"/>
          <w:szCs w:val="32"/>
        </w:rPr>
      </w:pPr>
      <w:r>
        <w:rPr>
          <w:rFonts w:hint="eastAsia" w:ascii="仿宋" w:hAnsi="仿宋" w:eastAsia="仿宋"/>
          <w:sz w:val="32"/>
          <w:szCs w:val="32"/>
        </w:rPr>
        <w:t>（四）携带完整资料到5栋201房总务科报名审核资料，登记好公司名称、业务代表姓名、联系电话及提供的产品项目。</w:t>
      </w:r>
    </w:p>
    <w:p>
      <w:pPr>
        <w:widowControl/>
        <w:spacing w:line="560" w:lineRule="exact"/>
        <w:ind w:left="319" w:leftChars="152" w:firstLine="320" w:firstLineChars="100"/>
        <w:rPr>
          <w:rFonts w:ascii="仿宋" w:hAnsi="仿宋" w:eastAsia="仿宋"/>
          <w:sz w:val="32"/>
          <w:szCs w:val="32"/>
        </w:rPr>
      </w:pPr>
      <w:r>
        <w:rPr>
          <w:rFonts w:hint="eastAsia" w:ascii="仿宋" w:hAnsi="仿宋" w:eastAsia="仿宋"/>
          <w:sz w:val="32"/>
          <w:szCs w:val="32"/>
        </w:rPr>
        <w:t>（五）经取得院内公开采购的项目在验收时，其实际质量与其参加院内公开采购时提供的条件不符或在规定时间内拒签合同以及不按合同条款执行合同者均视为不履行合约，将其供应商列入我院黑名单，在一年内不允许该公司参加我院院内公开采购活动。</w:t>
      </w:r>
    </w:p>
    <w:p>
      <w:pPr>
        <w:widowControl/>
        <w:spacing w:line="560" w:lineRule="exact"/>
        <w:ind w:left="319" w:leftChars="152" w:firstLine="320" w:firstLineChars="100"/>
        <w:rPr>
          <w:rFonts w:ascii="仿宋" w:hAnsi="仿宋" w:eastAsia="仿宋"/>
          <w:sz w:val="32"/>
          <w:szCs w:val="32"/>
        </w:rPr>
      </w:pPr>
      <w:r>
        <w:rPr>
          <w:rFonts w:hint="eastAsia" w:ascii="仿宋" w:hAnsi="仿宋" w:eastAsia="仿宋"/>
          <w:sz w:val="32"/>
          <w:szCs w:val="32"/>
        </w:rPr>
        <w:t>（六）投标人的产品质量及服务承诺书不能严重低于招标文件中的服务要求标准做出响应，允许出现负偏差，但不得出现严重负偏差。</w:t>
      </w:r>
    </w:p>
    <w:p>
      <w:pPr>
        <w:widowControl/>
        <w:spacing w:line="560" w:lineRule="exact"/>
        <w:ind w:left="319" w:leftChars="152" w:firstLine="320" w:firstLineChars="100"/>
        <w:rPr>
          <w:rFonts w:ascii="仿宋" w:hAnsi="仿宋" w:eastAsia="仿宋"/>
          <w:sz w:val="32"/>
          <w:szCs w:val="32"/>
        </w:rPr>
      </w:pPr>
      <w:r>
        <w:rPr>
          <w:rFonts w:hint="eastAsia" w:ascii="仿宋" w:hAnsi="仿宋" w:eastAsia="仿宋"/>
          <w:sz w:val="32"/>
          <w:szCs w:val="32"/>
        </w:rPr>
        <w:t>（七）投标文件的规定。投标文件须密封装袋，制作一本正本，一本副本，每份投标文件必须装订且须在封面上清楚标明“正本”或“副本”字样。一旦正本与副本不符，以正本为准。 投标文件不得涂改和增删，如要修改错漏处，必须由同一签署人在修改处签字或盖章。</w:t>
      </w:r>
    </w:p>
    <w:p>
      <w:pPr>
        <w:widowControl/>
        <w:spacing w:line="560" w:lineRule="exact"/>
        <w:ind w:left="319" w:leftChars="152" w:firstLine="320" w:firstLineChars="100"/>
        <w:rPr>
          <w:rFonts w:ascii="仿宋" w:hAnsi="仿宋" w:eastAsia="仿宋"/>
          <w:sz w:val="32"/>
          <w:szCs w:val="32"/>
        </w:rPr>
      </w:pPr>
      <w:r>
        <w:rPr>
          <w:rFonts w:hint="eastAsia" w:ascii="仿宋" w:hAnsi="仿宋" w:eastAsia="仿宋"/>
          <w:sz w:val="32"/>
          <w:szCs w:val="32"/>
        </w:rPr>
        <w:t>（八）评审结束后，中标公示3天后，中标供应商须在10个工作日内到我院签署合同，超过10个工作日未前来签合同的，我院有权宣布本次采购结果作废，重新确定供应商。</w:t>
      </w:r>
    </w:p>
    <w:p>
      <w:pPr>
        <w:widowControl/>
        <w:spacing w:line="560" w:lineRule="exact"/>
        <w:ind w:firstLine="760" w:firstLineChars="200"/>
        <w:rPr>
          <w:rFonts w:ascii="仿宋" w:hAnsi="仿宋" w:eastAsia="仿宋" w:cs="仿宋_GB2312"/>
          <w:spacing w:val="30"/>
          <w:kern w:val="0"/>
          <w:sz w:val="32"/>
          <w:szCs w:val="32"/>
        </w:rPr>
      </w:pPr>
    </w:p>
    <w:p>
      <w:pPr>
        <w:widowControl/>
        <w:spacing w:line="560" w:lineRule="exact"/>
        <w:ind w:firstLine="760" w:firstLineChars="200"/>
        <w:rPr>
          <w:rFonts w:ascii="仿宋" w:hAnsi="仿宋" w:eastAsia="仿宋" w:cs="仿宋_GB2312"/>
          <w:spacing w:val="30"/>
          <w:kern w:val="0"/>
          <w:sz w:val="32"/>
          <w:szCs w:val="32"/>
        </w:rPr>
      </w:pPr>
    </w:p>
    <w:p>
      <w:pPr>
        <w:widowControl/>
        <w:spacing w:line="560" w:lineRule="exact"/>
        <w:ind w:firstLine="760" w:firstLineChars="200"/>
        <w:rPr>
          <w:rFonts w:ascii="仿宋" w:hAnsi="仿宋" w:eastAsia="仿宋" w:cs="Times New Roman"/>
          <w:spacing w:val="30"/>
          <w:kern w:val="0"/>
          <w:sz w:val="32"/>
          <w:szCs w:val="32"/>
        </w:rPr>
      </w:pPr>
    </w:p>
    <w:p>
      <w:pPr>
        <w:spacing w:line="560" w:lineRule="exact"/>
        <w:rPr>
          <w:rFonts w:ascii="仿宋_GB2312" w:eastAsia="仿宋_GB2312" w:cs="Times New Roman"/>
          <w:sz w:val="30"/>
          <w:szCs w:val="30"/>
        </w:rPr>
      </w:pPr>
    </w:p>
    <w:p>
      <w:pPr>
        <w:snapToGrid w:val="0"/>
        <w:spacing w:line="360" w:lineRule="auto"/>
        <w:jc w:val="center"/>
        <w:rPr>
          <w:b/>
          <w:sz w:val="24"/>
        </w:rPr>
      </w:pPr>
    </w:p>
    <w:p>
      <w:pPr>
        <w:snapToGrid w:val="0"/>
        <w:spacing w:line="360" w:lineRule="auto"/>
        <w:jc w:val="center"/>
        <w:rPr>
          <w:b/>
          <w:sz w:val="24"/>
        </w:rPr>
      </w:pPr>
    </w:p>
    <w:sectPr>
      <w:footerReference r:id="rId3" w:type="default"/>
      <w:pgSz w:w="11906" w:h="16838"/>
      <w:pgMar w:top="1440" w:right="1474"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36A79F"/>
    <w:multiLevelType w:val="singleLevel"/>
    <w:tmpl w:val="2C36A79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B62AE6"/>
    <w:rsid w:val="0001548F"/>
    <w:rsid w:val="00032811"/>
    <w:rsid w:val="00043045"/>
    <w:rsid w:val="0004474B"/>
    <w:rsid w:val="00057538"/>
    <w:rsid w:val="00061C26"/>
    <w:rsid w:val="00064214"/>
    <w:rsid w:val="00064F74"/>
    <w:rsid w:val="00067AD8"/>
    <w:rsid w:val="0007064E"/>
    <w:rsid w:val="00075746"/>
    <w:rsid w:val="0008121D"/>
    <w:rsid w:val="00084347"/>
    <w:rsid w:val="00093D4A"/>
    <w:rsid w:val="000949F4"/>
    <w:rsid w:val="00096811"/>
    <w:rsid w:val="000A068D"/>
    <w:rsid w:val="000A4B52"/>
    <w:rsid w:val="000B45F8"/>
    <w:rsid w:val="000C257B"/>
    <w:rsid w:val="000D2D4D"/>
    <w:rsid w:val="000E1B21"/>
    <w:rsid w:val="000E43E8"/>
    <w:rsid w:val="000E7FC7"/>
    <w:rsid w:val="000F4482"/>
    <w:rsid w:val="00101455"/>
    <w:rsid w:val="00110A4D"/>
    <w:rsid w:val="00123AED"/>
    <w:rsid w:val="00132241"/>
    <w:rsid w:val="00143FA5"/>
    <w:rsid w:val="00145CD8"/>
    <w:rsid w:val="00160627"/>
    <w:rsid w:val="0017405A"/>
    <w:rsid w:val="00174E70"/>
    <w:rsid w:val="00175176"/>
    <w:rsid w:val="00180C63"/>
    <w:rsid w:val="00180DB9"/>
    <w:rsid w:val="00182A1A"/>
    <w:rsid w:val="0019510C"/>
    <w:rsid w:val="001A2B68"/>
    <w:rsid w:val="001B68F1"/>
    <w:rsid w:val="001C079C"/>
    <w:rsid w:val="001C6FC2"/>
    <w:rsid w:val="001D06CC"/>
    <w:rsid w:val="001E1AD1"/>
    <w:rsid w:val="001F078E"/>
    <w:rsid w:val="001F1A00"/>
    <w:rsid w:val="0021070E"/>
    <w:rsid w:val="002153D8"/>
    <w:rsid w:val="002249AF"/>
    <w:rsid w:val="0023453D"/>
    <w:rsid w:val="00234720"/>
    <w:rsid w:val="002347E4"/>
    <w:rsid w:val="00235C31"/>
    <w:rsid w:val="00262930"/>
    <w:rsid w:val="002675A7"/>
    <w:rsid w:val="00270221"/>
    <w:rsid w:val="002719D2"/>
    <w:rsid w:val="00271C4C"/>
    <w:rsid w:val="00280D8B"/>
    <w:rsid w:val="00280ECA"/>
    <w:rsid w:val="00295BA1"/>
    <w:rsid w:val="0029742A"/>
    <w:rsid w:val="002A7D0F"/>
    <w:rsid w:val="002B27F9"/>
    <w:rsid w:val="002B30AE"/>
    <w:rsid w:val="002B5617"/>
    <w:rsid w:val="002C1331"/>
    <w:rsid w:val="002C4F43"/>
    <w:rsid w:val="002D2E74"/>
    <w:rsid w:val="002E0CBF"/>
    <w:rsid w:val="002E5934"/>
    <w:rsid w:val="002E69DF"/>
    <w:rsid w:val="002F7089"/>
    <w:rsid w:val="0030209B"/>
    <w:rsid w:val="003026A5"/>
    <w:rsid w:val="00306259"/>
    <w:rsid w:val="00323445"/>
    <w:rsid w:val="003257A7"/>
    <w:rsid w:val="0032774D"/>
    <w:rsid w:val="003320A9"/>
    <w:rsid w:val="0033421A"/>
    <w:rsid w:val="00350EC2"/>
    <w:rsid w:val="00351EAC"/>
    <w:rsid w:val="003523E7"/>
    <w:rsid w:val="003549ED"/>
    <w:rsid w:val="0035651E"/>
    <w:rsid w:val="0036298E"/>
    <w:rsid w:val="00380528"/>
    <w:rsid w:val="003856A9"/>
    <w:rsid w:val="00390560"/>
    <w:rsid w:val="00397EA8"/>
    <w:rsid w:val="003A1EFA"/>
    <w:rsid w:val="003A3CCF"/>
    <w:rsid w:val="003B35B9"/>
    <w:rsid w:val="003B487F"/>
    <w:rsid w:val="003D046F"/>
    <w:rsid w:val="003D2DA5"/>
    <w:rsid w:val="003D685F"/>
    <w:rsid w:val="003E3CB9"/>
    <w:rsid w:val="003E556A"/>
    <w:rsid w:val="0040060F"/>
    <w:rsid w:val="004164DA"/>
    <w:rsid w:val="00416C9B"/>
    <w:rsid w:val="00420CBC"/>
    <w:rsid w:val="0042308A"/>
    <w:rsid w:val="00431F5D"/>
    <w:rsid w:val="0043518B"/>
    <w:rsid w:val="00440AC4"/>
    <w:rsid w:val="00450AE9"/>
    <w:rsid w:val="00450FB7"/>
    <w:rsid w:val="0046180C"/>
    <w:rsid w:val="004732D3"/>
    <w:rsid w:val="004803B2"/>
    <w:rsid w:val="004906DC"/>
    <w:rsid w:val="00494459"/>
    <w:rsid w:val="004B0CFE"/>
    <w:rsid w:val="004B2E6D"/>
    <w:rsid w:val="004C64EB"/>
    <w:rsid w:val="004C6CB1"/>
    <w:rsid w:val="004C7252"/>
    <w:rsid w:val="004D0317"/>
    <w:rsid w:val="004D0B12"/>
    <w:rsid w:val="004D328D"/>
    <w:rsid w:val="004D5F2C"/>
    <w:rsid w:val="004D75A0"/>
    <w:rsid w:val="004D7C4F"/>
    <w:rsid w:val="004E3490"/>
    <w:rsid w:val="004F467F"/>
    <w:rsid w:val="0050177E"/>
    <w:rsid w:val="00503322"/>
    <w:rsid w:val="00505505"/>
    <w:rsid w:val="00506D23"/>
    <w:rsid w:val="00516301"/>
    <w:rsid w:val="00517A0D"/>
    <w:rsid w:val="0053722E"/>
    <w:rsid w:val="00537335"/>
    <w:rsid w:val="005410C5"/>
    <w:rsid w:val="00541FBE"/>
    <w:rsid w:val="00551F92"/>
    <w:rsid w:val="00554EA5"/>
    <w:rsid w:val="00557A9E"/>
    <w:rsid w:val="00563D30"/>
    <w:rsid w:val="00580CDC"/>
    <w:rsid w:val="00584EF1"/>
    <w:rsid w:val="00586A0E"/>
    <w:rsid w:val="005912CB"/>
    <w:rsid w:val="005917EA"/>
    <w:rsid w:val="005A0BE8"/>
    <w:rsid w:val="005A6224"/>
    <w:rsid w:val="005D6DED"/>
    <w:rsid w:val="005E5630"/>
    <w:rsid w:val="005F3357"/>
    <w:rsid w:val="006037DF"/>
    <w:rsid w:val="00613247"/>
    <w:rsid w:val="00614FB7"/>
    <w:rsid w:val="006300C8"/>
    <w:rsid w:val="0063174E"/>
    <w:rsid w:val="0063413F"/>
    <w:rsid w:val="00634E28"/>
    <w:rsid w:val="006453AD"/>
    <w:rsid w:val="00670376"/>
    <w:rsid w:val="00677A59"/>
    <w:rsid w:val="006A0EB9"/>
    <w:rsid w:val="006A4FC1"/>
    <w:rsid w:val="006B5176"/>
    <w:rsid w:val="006B695B"/>
    <w:rsid w:val="006C3D89"/>
    <w:rsid w:val="006C6521"/>
    <w:rsid w:val="006C70F2"/>
    <w:rsid w:val="006D6FF6"/>
    <w:rsid w:val="006E1BD4"/>
    <w:rsid w:val="006E221C"/>
    <w:rsid w:val="006E6E83"/>
    <w:rsid w:val="006F55D7"/>
    <w:rsid w:val="0070367E"/>
    <w:rsid w:val="00703D7C"/>
    <w:rsid w:val="0070502B"/>
    <w:rsid w:val="00711C22"/>
    <w:rsid w:val="0071316E"/>
    <w:rsid w:val="00715498"/>
    <w:rsid w:val="0072070E"/>
    <w:rsid w:val="00721659"/>
    <w:rsid w:val="00725402"/>
    <w:rsid w:val="00742980"/>
    <w:rsid w:val="00744170"/>
    <w:rsid w:val="007453DC"/>
    <w:rsid w:val="00753D3C"/>
    <w:rsid w:val="00754B71"/>
    <w:rsid w:val="00756768"/>
    <w:rsid w:val="007725D7"/>
    <w:rsid w:val="00785291"/>
    <w:rsid w:val="00796D30"/>
    <w:rsid w:val="007A106D"/>
    <w:rsid w:val="007A2A7D"/>
    <w:rsid w:val="007A2C0B"/>
    <w:rsid w:val="007A4AF5"/>
    <w:rsid w:val="007A6D3D"/>
    <w:rsid w:val="007A78E0"/>
    <w:rsid w:val="007B4467"/>
    <w:rsid w:val="007B54D9"/>
    <w:rsid w:val="007B7E26"/>
    <w:rsid w:val="007C502D"/>
    <w:rsid w:val="007C5669"/>
    <w:rsid w:val="007D59A6"/>
    <w:rsid w:val="007D70F3"/>
    <w:rsid w:val="007F4645"/>
    <w:rsid w:val="008020FC"/>
    <w:rsid w:val="0081100F"/>
    <w:rsid w:val="008134C1"/>
    <w:rsid w:val="00825B32"/>
    <w:rsid w:val="00825F0A"/>
    <w:rsid w:val="008262B6"/>
    <w:rsid w:val="00836A48"/>
    <w:rsid w:val="008429D2"/>
    <w:rsid w:val="008458F9"/>
    <w:rsid w:val="00847F91"/>
    <w:rsid w:val="0085084B"/>
    <w:rsid w:val="00857375"/>
    <w:rsid w:val="0086046E"/>
    <w:rsid w:val="00861AAD"/>
    <w:rsid w:val="0086284D"/>
    <w:rsid w:val="008842E5"/>
    <w:rsid w:val="008865F0"/>
    <w:rsid w:val="008877DF"/>
    <w:rsid w:val="008913EF"/>
    <w:rsid w:val="008975AA"/>
    <w:rsid w:val="008A2483"/>
    <w:rsid w:val="008C54EA"/>
    <w:rsid w:val="008C5EC6"/>
    <w:rsid w:val="008D57C0"/>
    <w:rsid w:val="008E4724"/>
    <w:rsid w:val="008E7C26"/>
    <w:rsid w:val="008F04E1"/>
    <w:rsid w:val="008F6A2E"/>
    <w:rsid w:val="009022FA"/>
    <w:rsid w:val="009025AC"/>
    <w:rsid w:val="00903164"/>
    <w:rsid w:val="00903CCB"/>
    <w:rsid w:val="00904F70"/>
    <w:rsid w:val="00917176"/>
    <w:rsid w:val="009316FC"/>
    <w:rsid w:val="009401C2"/>
    <w:rsid w:val="0094532E"/>
    <w:rsid w:val="00945408"/>
    <w:rsid w:val="00946262"/>
    <w:rsid w:val="00946B93"/>
    <w:rsid w:val="00953F4B"/>
    <w:rsid w:val="00953FC2"/>
    <w:rsid w:val="00955431"/>
    <w:rsid w:val="009560FA"/>
    <w:rsid w:val="00973357"/>
    <w:rsid w:val="00974AAF"/>
    <w:rsid w:val="00977A72"/>
    <w:rsid w:val="00980CB1"/>
    <w:rsid w:val="009833E9"/>
    <w:rsid w:val="00986513"/>
    <w:rsid w:val="00991238"/>
    <w:rsid w:val="009A036C"/>
    <w:rsid w:val="009A48C4"/>
    <w:rsid w:val="009B1892"/>
    <w:rsid w:val="009B6224"/>
    <w:rsid w:val="009C44CF"/>
    <w:rsid w:val="009C67B5"/>
    <w:rsid w:val="009D196F"/>
    <w:rsid w:val="009D59D4"/>
    <w:rsid w:val="009E404B"/>
    <w:rsid w:val="009E5EB3"/>
    <w:rsid w:val="009E6C1A"/>
    <w:rsid w:val="009E6F9F"/>
    <w:rsid w:val="009F3B20"/>
    <w:rsid w:val="00A02387"/>
    <w:rsid w:val="00A060E0"/>
    <w:rsid w:val="00A1197A"/>
    <w:rsid w:val="00A169BA"/>
    <w:rsid w:val="00A24A8C"/>
    <w:rsid w:val="00A26F54"/>
    <w:rsid w:val="00A4331F"/>
    <w:rsid w:val="00A45AAE"/>
    <w:rsid w:val="00A46592"/>
    <w:rsid w:val="00A626C7"/>
    <w:rsid w:val="00A66D29"/>
    <w:rsid w:val="00A77F96"/>
    <w:rsid w:val="00A80354"/>
    <w:rsid w:val="00A84866"/>
    <w:rsid w:val="00A94407"/>
    <w:rsid w:val="00A94CCC"/>
    <w:rsid w:val="00A9560F"/>
    <w:rsid w:val="00AA33F2"/>
    <w:rsid w:val="00AA64A2"/>
    <w:rsid w:val="00AB649E"/>
    <w:rsid w:val="00AE543A"/>
    <w:rsid w:val="00AE547B"/>
    <w:rsid w:val="00AF5ADB"/>
    <w:rsid w:val="00AF6B36"/>
    <w:rsid w:val="00B03BC6"/>
    <w:rsid w:val="00B11B70"/>
    <w:rsid w:val="00B14A1C"/>
    <w:rsid w:val="00B150CC"/>
    <w:rsid w:val="00B1697D"/>
    <w:rsid w:val="00B22E31"/>
    <w:rsid w:val="00B31C51"/>
    <w:rsid w:val="00B32A89"/>
    <w:rsid w:val="00B32BF4"/>
    <w:rsid w:val="00B33EC0"/>
    <w:rsid w:val="00B407C8"/>
    <w:rsid w:val="00B44AFE"/>
    <w:rsid w:val="00B452DF"/>
    <w:rsid w:val="00B52934"/>
    <w:rsid w:val="00B6067A"/>
    <w:rsid w:val="00B608E8"/>
    <w:rsid w:val="00B62AE6"/>
    <w:rsid w:val="00B7704A"/>
    <w:rsid w:val="00B84C36"/>
    <w:rsid w:val="00B87690"/>
    <w:rsid w:val="00B904E3"/>
    <w:rsid w:val="00B93D07"/>
    <w:rsid w:val="00B95654"/>
    <w:rsid w:val="00BB3BCA"/>
    <w:rsid w:val="00BB7B00"/>
    <w:rsid w:val="00BC1041"/>
    <w:rsid w:val="00BC2009"/>
    <w:rsid w:val="00BC2CD2"/>
    <w:rsid w:val="00BC7B0A"/>
    <w:rsid w:val="00BD3609"/>
    <w:rsid w:val="00BD6B36"/>
    <w:rsid w:val="00BE2D29"/>
    <w:rsid w:val="00BF38B1"/>
    <w:rsid w:val="00BF52CD"/>
    <w:rsid w:val="00C1202B"/>
    <w:rsid w:val="00C215C7"/>
    <w:rsid w:val="00C23465"/>
    <w:rsid w:val="00C24F0D"/>
    <w:rsid w:val="00C27024"/>
    <w:rsid w:val="00C27033"/>
    <w:rsid w:val="00C362DB"/>
    <w:rsid w:val="00C37219"/>
    <w:rsid w:val="00C41141"/>
    <w:rsid w:val="00C47720"/>
    <w:rsid w:val="00C541E4"/>
    <w:rsid w:val="00C573E8"/>
    <w:rsid w:val="00C62973"/>
    <w:rsid w:val="00C90D40"/>
    <w:rsid w:val="00C91DDD"/>
    <w:rsid w:val="00C91EF2"/>
    <w:rsid w:val="00C93F3E"/>
    <w:rsid w:val="00CA15D8"/>
    <w:rsid w:val="00CB08B8"/>
    <w:rsid w:val="00CB48B8"/>
    <w:rsid w:val="00CB5CAD"/>
    <w:rsid w:val="00CB7FAA"/>
    <w:rsid w:val="00CC4340"/>
    <w:rsid w:val="00CC470B"/>
    <w:rsid w:val="00CC6135"/>
    <w:rsid w:val="00CC6CF3"/>
    <w:rsid w:val="00CD2FC0"/>
    <w:rsid w:val="00CF2004"/>
    <w:rsid w:val="00CF5D98"/>
    <w:rsid w:val="00D00F9A"/>
    <w:rsid w:val="00D20C5B"/>
    <w:rsid w:val="00D2140B"/>
    <w:rsid w:val="00D22D27"/>
    <w:rsid w:val="00D3062A"/>
    <w:rsid w:val="00D37015"/>
    <w:rsid w:val="00D47225"/>
    <w:rsid w:val="00D61E32"/>
    <w:rsid w:val="00D634E7"/>
    <w:rsid w:val="00D65889"/>
    <w:rsid w:val="00D67B86"/>
    <w:rsid w:val="00D75FE5"/>
    <w:rsid w:val="00D80DC6"/>
    <w:rsid w:val="00D939CE"/>
    <w:rsid w:val="00D95016"/>
    <w:rsid w:val="00D97178"/>
    <w:rsid w:val="00DA7A65"/>
    <w:rsid w:val="00DB537B"/>
    <w:rsid w:val="00DC3B1C"/>
    <w:rsid w:val="00DC6A68"/>
    <w:rsid w:val="00DD029E"/>
    <w:rsid w:val="00DD41E1"/>
    <w:rsid w:val="00E17523"/>
    <w:rsid w:val="00E35AED"/>
    <w:rsid w:val="00E36167"/>
    <w:rsid w:val="00E44B35"/>
    <w:rsid w:val="00E66F92"/>
    <w:rsid w:val="00E73CF7"/>
    <w:rsid w:val="00E76ACD"/>
    <w:rsid w:val="00E77432"/>
    <w:rsid w:val="00E878FC"/>
    <w:rsid w:val="00E95392"/>
    <w:rsid w:val="00EA3F64"/>
    <w:rsid w:val="00EA7C25"/>
    <w:rsid w:val="00EB3D69"/>
    <w:rsid w:val="00EB52F9"/>
    <w:rsid w:val="00ED1004"/>
    <w:rsid w:val="00ED33C0"/>
    <w:rsid w:val="00ED6F5D"/>
    <w:rsid w:val="00ED7404"/>
    <w:rsid w:val="00EE357E"/>
    <w:rsid w:val="00EE722A"/>
    <w:rsid w:val="00EF7A4F"/>
    <w:rsid w:val="00F00878"/>
    <w:rsid w:val="00F0733D"/>
    <w:rsid w:val="00F10684"/>
    <w:rsid w:val="00F11D1B"/>
    <w:rsid w:val="00F305DD"/>
    <w:rsid w:val="00F3544D"/>
    <w:rsid w:val="00F41999"/>
    <w:rsid w:val="00F436CF"/>
    <w:rsid w:val="00F47FD1"/>
    <w:rsid w:val="00F50DC4"/>
    <w:rsid w:val="00F72DD1"/>
    <w:rsid w:val="00F76D9D"/>
    <w:rsid w:val="00F76E2D"/>
    <w:rsid w:val="00F81A69"/>
    <w:rsid w:val="00F83B7D"/>
    <w:rsid w:val="00F9178E"/>
    <w:rsid w:val="00FA0AFA"/>
    <w:rsid w:val="00FA17B5"/>
    <w:rsid w:val="00FA7ED7"/>
    <w:rsid w:val="00FB48CD"/>
    <w:rsid w:val="00FB49E4"/>
    <w:rsid w:val="00FB5CE3"/>
    <w:rsid w:val="00FC0A13"/>
    <w:rsid w:val="00FC6312"/>
    <w:rsid w:val="00FC71A3"/>
    <w:rsid w:val="00FD1165"/>
    <w:rsid w:val="00FD258C"/>
    <w:rsid w:val="00FD3A9B"/>
    <w:rsid w:val="00FD53E0"/>
    <w:rsid w:val="00FE2193"/>
    <w:rsid w:val="00FE251D"/>
    <w:rsid w:val="00FE31B0"/>
    <w:rsid w:val="00FE4E21"/>
    <w:rsid w:val="00FF189F"/>
    <w:rsid w:val="00FF2563"/>
    <w:rsid w:val="049A2023"/>
    <w:rsid w:val="06F064DC"/>
    <w:rsid w:val="0D133A88"/>
    <w:rsid w:val="10355045"/>
    <w:rsid w:val="12AE308D"/>
    <w:rsid w:val="13F71459"/>
    <w:rsid w:val="14160F58"/>
    <w:rsid w:val="14542F66"/>
    <w:rsid w:val="1E262B80"/>
    <w:rsid w:val="217F3F7C"/>
    <w:rsid w:val="21D70637"/>
    <w:rsid w:val="228E2655"/>
    <w:rsid w:val="299974C2"/>
    <w:rsid w:val="29D73FC2"/>
    <w:rsid w:val="2A4D1108"/>
    <w:rsid w:val="2CD5529F"/>
    <w:rsid w:val="2E2856E9"/>
    <w:rsid w:val="32837718"/>
    <w:rsid w:val="361D35ED"/>
    <w:rsid w:val="37153A54"/>
    <w:rsid w:val="3B2966ED"/>
    <w:rsid w:val="3C1F6C0B"/>
    <w:rsid w:val="3C412DD6"/>
    <w:rsid w:val="3F306AEE"/>
    <w:rsid w:val="479F3310"/>
    <w:rsid w:val="47A816EC"/>
    <w:rsid w:val="4DA77E94"/>
    <w:rsid w:val="510F7D66"/>
    <w:rsid w:val="513A3868"/>
    <w:rsid w:val="53271EAA"/>
    <w:rsid w:val="554756B2"/>
    <w:rsid w:val="59B16B43"/>
    <w:rsid w:val="59EC12A4"/>
    <w:rsid w:val="5A286711"/>
    <w:rsid w:val="5D121611"/>
    <w:rsid w:val="5E8F5C48"/>
    <w:rsid w:val="5F4D2073"/>
    <w:rsid w:val="6150529D"/>
    <w:rsid w:val="62B74A87"/>
    <w:rsid w:val="66A86CEB"/>
    <w:rsid w:val="66AB4F68"/>
    <w:rsid w:val="6B3C3611"/>
    <w:rsid w:val="6DEA4CC3"/>
    <w:rsid w:val="6FE02ACB"/>
    <w:rsid w:val="72366746"/>
    <w:rsid w:val="781E31DE"/>
    <w:rsid w:val="786F49F5"/>
    <w:rsid w:val="7A5F66C6"/>
    <w:rsid w:val="7D1427FF"/>
    <w:rsid w:val="7EF27AF9"/>
    <w:rsid w:val="7F162F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Normal Indent"/>
    <w:basedOn w:val="1"/>
    <w:qFormat/>
    <w:uiPriority w:val="0"/>
    <w:pPr>
      <w:adjustRightInd w:val="0"/>
      <w:spacing w:line="312" w:lineRule="atLeast"/>
      <w:ind w:firstLine="420"/>
      <w:textAlignment w:val="baseline"/>
    </w:pPr>
    <w:rPr>
      <w:rFonts w:ascii="Times New Roman" w:hAnsi="Times New Roman" w:cs="Times New Roman"/>
      <w:kern w:val="0"/>
      <w:szCs w:val="20"/>
    </w:rPr>
  </w:style>
  <w:style w:type="paragraph" w:styleId="4">
    <w:name w:val="Body Text"/>
    <w:basedOn w:val="1"/>
    <w:next w:val="1"/>
    <w:qFormat/>
    <w:uiPriority w:val="0"/>
    <w:pPr>
      <w:spacing w:line="360" w:lineRule="auto"/>
    </w:pPr>
    <w:rPr>
      <w:b/>
      <w:bCs/>
      <w:sz w:val="24"/>
    </w:rPr>
  </w:style>
  <w:style w:type="paragraph" w:styleId="5">
    <w:name w:val="footer"/>
    <w:basedOn w:val="1"/>
    <w:link w:val="13"/>
    <w:unhideWhenUsed/>
    <w:qFormat/>
    <w:uiPriority w:val="99"/>
    <w:pPr>
      <w:tabs>
        <w:tab w:val="center" w:pos="4153"/>
        <w:tab w:val="right" w:pos="8306"/>
      </w:tabs>
      <w:snapToGrid w:val="0"/>
      <w:jc w:val="left"/>
    </w:pPr>
    <w:rPr>
      <w:rFonts w:cs="Times New Roman"/>
      <w:kern w:val="0"/>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7">
    <w:name w:val="Normal (Web)"/>
    <w:basedOn w:val="1"/>
    <w:qFormat/>
    <w:uiPriority w:val="0"/>
    <w:pPr>
      <w:widowControl/>
      <w:spacing w:line="300" w:lineRule="atLeast"/>
      <w:jc w:val="left"/>
    </w:pPr>
    <w:rPr>
      <w:rFonts w:ascii="宋体" w:hAnsi="宋体" w:cs="宋体"/>
      <w:kern w:val="0"/>
      <w:sz w:val="24"/>
      <w:szCs w:val="24"/>
    </w:rPr>
  </w:style>
  <w:style w:type="table" w:styleId="9">
    <w:name w:val="Table Grid"/>
    <w:basedOn w:val="8"/>
    <w:qFormat/>
    <w:locked/>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默认段落字体 Para Char Char Char Char"/>
    <w:basedOn w:val="1"/>
    <w:qFormat/>
    <w:uiPriority w:val="99"/>
    <w:rPr>
      <w:rFonts w:ascii="Times New Roman" w:hAnsi="Times New Roman" w:cs="Times New Roman"/>
    </w:rPr>
  </w:style>
  <w:style w:type="character" w:customStyle="1" w:styleId="12">
    <w:name w:val="页眉 Char"/>
    <w:link w:val="6"/>
    <w:qFormat/>
    <w:uiPriority w:val="99"/>
    <w:rPr>
      <w:rFonts w:cs="Calibri"/>
      <w:sz w:val="18"/>
      <w:szCs w:val="18"/>
    </w:rPr>
  </w:style>
  <w:style w:type="character" w:customStyle="1" w:styleId="13">
    <w:name w:val="页脚 Char"/>
    <w:link w:val="5"/>
    <w:qFormat/>
    <w:uiPriority w:val="99"/>
    <w:rPr>
      <w:rFonts w:cs="Calibri"/>
      <w:sz w:val="18"/>
      <w:szCs w:val="18"/>
    </w:rPr>
  </w:style>
  <w:style w:type="paragraph" w:customStyle="1" w:styleId="14">
    <w:name w:val="Other|1"/>
    <w:basedOn w:val="1"/>
    <w:qFormat/>
    <w:uiPriority w:val="0"/>
    <w:rPr>
      <w:rFonts w:ascii="宋体" w:hAnsi="宋体" w:cs="宋体"/>
      <w:sz w:val="20"/>
      <w:szCs w:val="20"/>
      <w:lang w:val="zh-TW" w:eastAsia="zh-TW" w:bidi="zh-TW"/>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932</Words>
  <Characters>5315</Characters>
  <Lines>44</Lines>
  <Paragraphs>12</Paragraphs>
  <TotalTime>14</TotalTime>
  <ScaleCrop>false</ScaleCrop>
  <LinksUpToDate>false</LinksUpToDate>
  <CharactersWithSpaces>6235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2021-04-12T09:43:00Z</dcterms:created>
  <dc:creator>think</dc:creator>
  <cp:lastModifiedBy>office</cp:lastModifiedBy>
  <cp:lastPrinted>2021-04-13T07:36:00Z</cp:lastPrinted>
  <dcterms:modified xsi:type="dcterms:W3CDTF">2021-04-15T03:06:47Z</dcterms:modified>
  <dc:title>“新生儿配方奶粉”招标公告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31D6D8C2F9C247E786A06D6316D98741</vt:lpwstr>
  </property>
</Properties>
</file>