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default"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附件</w:t>
      </w:r>
    </w:p>
    <w:p>
      <w:pPr>
        <w:pStyle w:val="2"/>
        <w:ind w:left="0" w:leftChars="0" w:firstLine="0" w:firstLineChars="0"/>
        <w:jc w:val="left"/>
        <w:rPr>
          <w:rFonts w:hint="default" w:ascii="Times New Roman" w:hAnsi="Times New Roman" w:eastAsia="黑体" w:cs="Times New Roman"/>
          <w:spacing w:val="-6"/>
          <w:szCs w:val="32"/>
        </w:rPr>
      </w:pP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广东省紧密型县域医疗卫生共同体建设</w:t>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Times New Roman" w:hAnsi="Times New Roman" w:eastAsia="方正小标宋简体" w:cs="Times New Roman"/>
          <w:snapToGrid w:val="0"/>
          <w:kern w:val="0"/>
          <w:sz w:val="44"/>
          <w:szCs w:val="44"/>
        </w:rPr>
      </w:pPr>
      <w:r>
        <w:rPr>
          <w:rFonts w:hint="default" w:ascii="Times New Roman" w:hAnsi="Times New Roman" w:eastAsia="方正小标宋简体" w:cs="Times New Roman"/>
          <w:spacing w:val="-6"/>
          <w:sz w:val="44"/>
          <w:szCs w:val="44"/>
        </w:rPr>
        <w:t>绩效评价具体指</w:t>
      </w:r>
      <w:bookmarkStart w:id="0" w:name="_GoBack"/>
      <w:bookmarkEnd w:id="0"/>
      <w:r>
        <w:rPr>
          <w:rFonts w:hint="default" w:ascii="Times New Roman" w:hAnsi="Times New Roman" w:eastAsia="方正小标宋简体" w:cs="Times New Roman"/>
          <w:spacing w:val="-6"/>
          <w:sz w:val="44"/>
          <w:szCs w:val="44"/>
        </w:rPr>
        <w:t>标（试行）</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32"/>
        <w:textAlignment w:val="auto"/>
        <w:rPr>
          <w:rFonts w:hint="default" w:ascii="Times New Roman" w:hAnsi="Times New Roman" w:eastAsia="仿宋" w:cs="Times New Roman"/>
          <w:snapToGrid w:val="0"/>
          <w:kern w:val="0"/>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32"/>
        <w:textAlignment w:val="auto"/>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根据</w:t>
      </w:r>
      <w:r>
        <w:rPr>
          <w:rFonts w:hint="default" w:ascii="Times New Roman" w:hAnsi="Times New Roman" w:eastAsia="仿宋_GB2312" w:cs="Times New Roman"/>
          <w:sz w:val="32"/>
          <w:szCs w:val="32"/>
          <w:highlight w:val="none"/>
        </w:rPr>
        <w:t>《广东省人民政府办公厅关于印发广东省加强紧密型县域医疗卫生共同体建设实施方案的通知》（粤府办〔2019〕18号）之附件4《紧密型县域医疗卫生共同体评价标准和评价指标体系》，制定本</w:t>
      </w:r>
      <w:r>
        <w:rPr>
          <w:rFonts w:hint="default" w:ascii="Times New Roman" w:hAnsi="Times New Roman" w:eastAsia="仿宋_GB2312" w:cs="Times New Roman"/>
          <w:spacing w:val="-6"/>
          <w:sz w:val="32"/>
          <w:szCs w:val="32"/>
          <w:highlight w:val="none"/>
        </w:rPr>
        <w:t>绩效评价具体指标，并采用PDCA循环原理和方法，开展绩效评价工作</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（一）本评价适用于广东省紧密型县域医共体。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（二）本评价共设置5部分5个基本条款，20个核心条款，用于广东省紧密型县域医共体建设绩效评价，也可用于县域医共体自我评价与改进。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二、条款分类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（一）基本条款。将最基本的列为基本条款。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（二）核心条款。在基本条款基础上，将广东省紧密型县域医共体建设推进必备的要素设为核心条款，以“★”标注。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rPr>
        <w:t>三、条款分布</w:t>
      </w:r>
    </w:p>
    <w:p>
      <w:pPr>
        <w:pStyle w:val="2"/>
        <w:rPr>
          <w:rFonts w:hint="default" w:ascii="Times New Roman" w:hAnsi="Times New Roman" w:eastAsia="宋体" w:cs="Times New Roman"/>
          <w:snapToGrid/>
          <w:kern w:val="2"/>
          <w:szCs w:val="24"/>
        </w:rPr>
      </w:pPr>
    </w:p>
    <w:tbl>
      <w:tblPr>
        <w:tblStyle w:val="5"/>
        <w:tblW w:w="8277" w:type="dxa"/>
        <w:jc w:val="center"/>
        <w:tblInd w:w="0" w:type="dxa"/>
        <w:tblLayout w:type="fixed"/>
        <w:tblCellMar>
          <w:top w:w="0" w:type="dxa"/>
          <w:left w:w="108" w:type="dxa"/>
          <w:bottom w:w="0" w:type="dxa"/>
          <w:right w:w="108" w:type="dxa"/>
        </w:tblCellMar>
      </w:tblPr>
      <w:tblGrid>
        <w:gridCol w:w="3868"/>
        <w:gridCol w:w="2100"/>
        <w:gridCol w:w="2309"/>
      </w:tblGrid>
      <w:tr>
        <w:tblPrEx>
          <w:tblLayout w:type="fixed"/>
          <w:tblCellMar>
            <w:top w:w="0" w:type="dxa"/>
            <w:left w:w="108" w:type="dxa"/>
            <w:bottom w:w="0" w:type="dxa"/>
            <w:right w:w="108" w:type="dxa"/>
          </w:tblCellMar>
        </w:tblPrEx>
        <w:trPr>
          <w:trHeight w:val="507" w:hRule="atLeast"/>
          <w:tblHeader/>
          <w:jc w:val="center"/>
        </w:trPr>
        <w:tc>
          <w:tcPr>
            <w:tcW w:w="3868" w:type="dxa"/>
            <w:tcBorders>
              <w:top w:val="single" w:color="auto" w:sz="4" w:space="0"/>
              <w:left w:val="single" w:color="auto" w:sz="4" w:space="0"/>
              <w:right w:val="single" w:color="auto" w:sz="4" w:space="0"/>
            </w:tcBorders>
            <w:noWrap w:val="0"/>
            <w:vAlign w:val="center"/>
          </w:tcPr>
          <w:p>
            <w:pPr>
              <w:pStyle w:val="4"/>
              <w:adjustRightInd w:val="0"/>
              <w:snapToGrid w:val="0"/>
              <w:spacing w:line="520" w:lineRule="atLeas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章  节</w:t>
            </w:r>
          </w:p>
        </w:tc>
        <w:tc>
          <w:tcPr>
            <w:tcW w:w="2100" w:type="dxa"/>
            <w:tcBorders>
              <w:top w:val="single" w:color="auto" w:sz="4" w:space="0"/>
              <w:left w:val="single" w:color="auto" w:sz="4" w:space="0"/>
              <w:right w:val="single" w:color="auto" w:sz="4" w:space="0"/>
            </w:tcBorders>
            <w:noWrap w:val="0"/>
            <w:vAlign w:val="center"/>
          </w:tcPr>
          <w:p>
            <w:pPr>
              <w:pStyle w:val="4"/>
              <w:widowControl/>
              <w:adjustRightInd w:val="0"/>
              <w:snapToGrid w:val="0"/>
              <w:spacing w:line="520" w:lineRule="atLeas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基本条款</w:t>
            </w:r>
          </w:p>
        </w:tc>
        <w:tc>
          <w:tcPr>
            <w:tcW w:w="2309" w:type="dxa"/>
            <w:tcBorders>
              <w:top w:val="single" w:color="auto" w:sz="4" w:space="0"/>
              <w:left w:val="single" w:color="auto" w:sz="4" w:space="0"/>
              <w:right w:val="single" w:color="auto" w:sz="4" w:space="0"/>
            </w:tcBorders>
            <w:noWrap w:val="0"/>
            <w:vAlign w:val="center"/>
          </w:tcPr>
          <w:p>
            <w:pPr>
              <w:pStyle w:val="4"/>
              <w:widowControl/>
              <w:adjustRightInd w:val="0"/>
              <w:snapToGrid w:val="0"/>
              <w:spacing w:line="520" w:lineRule="atLeast"/>
              <w:ind w:left="236" w:hanging="276" w:hanging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核心条款★</w:t>
            </w:r>
          </w:p>
        </w:tc>
      </w:tr>
      <w:tr>
        <w:tblPrEx>
          <w:tblLayout w:type="fixed"/>
          <w:tblCellMar>
            <w:top w:w="0" w:type="dxa"/>
            <w:left w:w="108" w:type="dxa"/>
            <w:bottom w:w="0" w:type="dxa"/>
            <w:right w:w="108" w:type="dxa"/>
          </w:tblCellMar>
        </w:tblPrEx>
        <w:trPr>
          <w:trHeight w:val="465" w:hRule="atLeast"/>
          <w:jc w:val="center"/>
        </w:trPr>
        <w:tc>
          <w:tcPr>
            <w:tcW w:w="3868"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第一部分  责任共同体</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r>
      <w:tr>
        <w:tblPrEx>
          <w:tblLayout w:type="fixed"/>
          <w:tblCellMar>
            <w:top w:w="0" w:type="dxa"/>
            <w:left w:w="108" w:type="dxa"/>
            <w:bottom w:w="0" w:type="dxa"/>
            <w:right w:w="108" w:type="dxa"/>
          </w:tblCellMar>
        </w:tblPrEx>
        <w:trPr>
          <w:trHeight w:val="360" w:hRule="atLeast"/>
          <w:jc w:val="center"/>
        </w:trPr>
        <w:tc>
          <w:tcPr>
            <w:tcW w:w="3868"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第二部分  管理共同体</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p>
        </w:tc>
      </w:tr>
      <w:tr>
        <w:tblPrEx>
          <w:tblLayout w:type="fixed"/>
          <w:tblCellMar>
            <w:top w:w="0" w:type="dxa"/>
            <w:left w:w="108" w:type="dxa"/>
            <w:bottom w:w="0" w:type="dxa"/>
            <w:right w:w="108" w:type="dxa"/>
          </w:tblCellMar>
        </w:tblPrEx>
        <w:trPr>
          <w:trHeight w:val="405" w:hRule="atLeast"/>
          <w:jc w:val="center"/>
        </w:trPr>
        <w:tc>
          <w:tcPr>
            <w:tcW w:w="3868"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第三部分  服务共同体</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r>
      <w:tr>
        <w:tblPrEx>
          <w:tblLayout w:type="fixed"/>
          <w:tblCellMar>
            <w:top w:w="0" w:type="dxa"/>
            <w:left w:w="108" w:type="dxa"/>
            <w:bottom w:w="0" w:type="dxa"/>
            <w:right w:w="108" w:type="dxa"/>
          </w:tblCellMar>
        </w:tblPrEx>
        <w:trPr>
          <w:trHeight w:val="405" w:hRule="atLeast"/>
          <w:jc w:val="center"/>
        </w:trPr>
        <w:tc>
          <w:tcPr>
            <w:tcW w:w="3868"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第四部分  利益共同体</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r>
      <w:tr>
        <w:tblPrEx>
          <w:tblLayout w:type="fixed"/>
          <w:tblCellMar>
            <w:top w:w="0" w:type="dxa"/>
            <w:left w:w="108" w:type="dxa"/>
            <w:bottom w:w="0" w:type="dxa"/>
            <w:right w:w="108" w:type="dxa"/>
          </w:tblCellMar>
        </w:tblPrEx>
        <w:trPr>
          <w:trHeight w:val="452" w:hRule="atLeast"/>
          <w:jc w:val="center"/>
        </w:trPr>
        <w:tc>
          <w:tcPr>
            <w:tcW w:w="3868"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第五部分  运营成效</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2</w:t>
            </w:r>
          </w:p>
        </w:tc>
      </w:tr>
      <w:tr>
        <w:tblPrEx>
          <w:tblLayout w:type="fixed"/>
          <w:tblCellMar>
            <w:top w:w="0" w:type="dxa"/>
            <w:left w:w="108" w:type="dxa"/>
            <w:bottom w:w="0" w:type="dxa"/>
            <w:right w:w="108" w:type="dxa"/>
          </w:tblCellMar>
        </w:tblPrEx>
        <w:trPr>
          <w:trHeight w:val="567" w:hRule="atLeast"/>
          <w:jc w:val="center"/>
        </w:trPr>
        <w:tc>
          <w:tcPr>
            <w:tcW w:w="3868"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5</w:t>
            </w:r>
          </w:p>
        </w:tc>
        <w:tc>
          <w:tcPr>
            <w:tcW w:w="2309"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atLeas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20</w:t>
            </w:r>
          </w:p>
        </w:tc>
      </w:tr>
    </w:tbl>
    <w:p>
      <w:pPr>
        <w:spacing w:line="520" w:lineRule="exact"/>
        <w:rPr>
          <w:rFonts w:hint="default" w:ascii="Times New Roman" w:hAnsi="Times New Roman" w:eastAsia="黑体" w:cs="Times New Roman"/>
          <w:snapToGrid w:val="0"/>
          <w:kern w:val="0"/>
          <w:szCs w:val="32"/>
        </w:rPr>
      </w:pPr>
      <w:r>
        <w:rPr>
          <w:rFonts w:hint="default" w:ascii="Times New Roman" w:hAnsi="Times New Roman" w:cs="Times New Roman"/>
        </w:rPr>
        <w:t xml:space="preserve">   </w:t>
      </w:r>
      <w:r>
        <w:rPr>
          <w:rFonts w:hint="default" w:ascii="Times New Roman" w:hAnsi="Times New Roman" w:cs="Times New Roman"/>
          <w:sz w:val="32"/>
          <w:szCs w:val="32"/>
        </w:rPr>
        <w:t xml:space="preserve"> </w:t>
      </w:r>
      <w:r>
        <w:rPr>
          <w:rFonts w:hint="default" w:ascii="Times New Roman" w:hAnsi="Times New Roman" w:eastAsia="黑体" w:cs="Times New Roman"/>
          <w:snapToGrid w:val="0"/>
          <w:kern w:val="0"/>
          <w:sz w:val="32"/>
          <w:szCs w:val="32"/>
        </w:rPr>
        <w:t>四、评价标准表达方式</w:t>
      </w:r>
    </w:p>
    <w:p>
      <w:pPr>
        <w:pStyle w:val="4"/>
        <w:widowControl/>
        <w:adjustRightInd w:val="0"/>
        <w:snapToGrid w:val="0"/>
        <w:spacing w:line="520" w:lineRule="exact"/>
        <w:ind w:firstLine="316" w:firstLineChars="1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（一）条款结果表达。</w:t>
      </w:r>
    </w:p>
    <w:tbl>
      <w:tblPr>
        <w:tblStyle w:val="5"/>
        <w:tblW w:w="8332" w:type="dxa"/>
        <w:jc w:val="center"/>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1585"/>
        <w:gridCol w:w="1543"/>
        <w:gridCol w:w="1575"/>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exact"/>
          <w:jc w:val="center"/>
        </w:trPr>
        <w:tc>
          <w:tcPr>
            <w:tcW w:w="1849" w:type="dxa"/>
            <w:tcBorders>
              <w:tl2br w:val="single" w:color="auto" w:sz="4" w:space="0"/>
            </w:tcBorders>
            <w:noWrap w:val="0"/>
            <w:vAlign w:val="top"/>
          </w:tcPr>
          <w:p>
            <w:pPr>
              <w:pStyle w:val="4"/>
              <w:widowControl/>
              <w:adjustRightInd w:val="0"/>
              <w:snapToGrid w:val="0"/>
              <w:spacing w:before="289" w:beforeLines="50"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档次</w:t>
            </w:r>
          </w:p>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w:t>
            </w:r>
          </w:p>
        </w:tc>
        <w:tc>
          <w:tcPr>
            <w:tcW w:w="1585" w:type="dxa"/>
            <w:noWrap w:val="0"/>
            <w:vAlign w:val="center"/>
          </w:tcPr>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D档</w:t>
            </w:r>
            <w:r>
              <w:rPr>
                <w:rFonts w:hint="default" w:ascii="Times New Roman" w:hAnsi="Times New Roman" w:eastAsia="仿宋_GB2312" w:cs="Times New Roman"/>
                <w:sz w:val="28"/>
                <w:szCs w:val="28"/>
                <w:lang w:eastAsia="zh-CN"/>
              </w:rPr>
              <w:t>（未达到</w:t>
            </w:r>
            <w:r>
              <w:rPr>
                <w:rFonts w:hint="default" w:ascii="Times New Roman" w:hAnsi="Times New Roman" w:eastAsia="仿宋_GB2312" w:cs="Times New Roman"/>
                <w:sz w:val="28"/>
                <w:szCs w:val="28"/>
                <w:lang w:val="en-US" w:eastAsia="zh-CN"/>
              </w:rPr>
              <w:t>C档者</w:t>
            </w:r>
            <w:r>
              <w:rPr>
                <w:rFonts w:hint="default" w:ascii="Times New Roman" w:hAnsi="Times New Roman" w:eastAsia="仿宋_GB2312" w:cs="Times New Roman"/>
                <w:sz w:val="28"/>
                <w:szCs w:val="28"/>
                <w:lang w:eastAsia="zh-CN"/>
              </w:rPr>
              <w:t>）</w:t>
            </w:r>
          </w:p>
        </w:tc>
        <w:tc>
          <w:tcPr>
            <w:tcW w:w="1543" w:type="dxa"/>
            <w:noWrap w:val="0"/>
            <w:vAlign w:val="center"/>
          </w:tcPr>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C档</w:t>
            </w:r>
          </w:p>
        </w:tc>
        <w:tc>
          <w:tcPr>
            <w:tcW w:w="1575" w:type="dxa"/>
            <w:noWrap w:val="0"/>
            <w:vAlign w:val="center"/>
          </w:tcPr>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B档</w:t>
            </w:r>
          </w:p>
        </w:tc>
        <w:tc>
          <w:tcPr>
            <w:tcW w:w="1780" w:type="dxa"/>
            <w:noWrap w:val="0"/>
            <w:vAlign w:val="center"/>
          </w:tcPr>
          <w:p>
            <w:pPr>
              <w:pStyle w:val="4"/>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exact"/>
          <w:jc w:val="center"/>
        </w:trPr>
        <w:tc>
          <w:tcPr>
            <w:tcW w:w="1849" w:type="dxa"/>
            <w:noWrap w:val="0"/>
            <w:vAlign w:val="center"/>
          </w:tcPr>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情况表述</w:t>
            </w:r>
          </w:p>
        </w:tc>
        <w:tc>
          <w:tcPr>
            <w:tcW w:w="1585" w:type="dxa"/>
            <w:noWrap w:val="0"/>
            <w:vAlign w:val="center"/>
          </w:tcPr>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仅有机制或规章，未执行</w:t>
            </w:r>
          </w:p>
        </w:tc>
        <w:tc>
          <w:tcPr>
            <w:tcW w:w="1543" w:type="dxa"/>
            <w:noWrap w:val="0"/>
            <w:vAlign w:val="center"/>
          </w:tcPr>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有机制</w:t>
            </w:r>
          </w:p>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能有效执行</w:t>
            </w:r>
          </w:p>
        </w:tc>
        <w:tc>
          <w:tcPr>
            <w:tcW w:w="1575" w:type="dxa"/>
            <w:noWrap w:val="0"/>
            <w:vAlign w:val="center"/>
          </w:tcPr>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有机制</w:t>
            </w:r>
          </w:p>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有运行</w:t>
            </w:r>
          </w:p>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有质控管理</w:t>
            </w:r>
          </w:p>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有结果</w:t>
            </w:r>
          </w:p>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有结果</w:t>
            </w:r>
          </w:p>
        </w:tc>
        <w:tc>
          <w:tcPr>
            <w:tcW w:w="1780" w:type="dxa"/>
            <w:noWrap w:val="0"/>
            <w:vAlign w:val="center"/>
          </w:tcPr>
          <w:p>
            <w:pPr>
              <w:pStyle w:val="4"/>
              <w:widowControl/>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在良好的基础上，有持续改进</w:t>
            </w:r>
          </w:p>
          <w:p>
            <w:pPr>
              <w:pStyle w:val="4"/>
              <w:adjustRightInd w:val="0"/>
              <w:snapToGrid w:val="0"/>
              <w:spacing w:line="0" w:lineRule="atLeas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或成效良好</w:t>
            </w:r>
          </w:p>
        </w:tc>
      </w:tr>
    </w:tbl>
    <w:p>
      <w:pPr>
        <w:pStyle w:val="4"/>
        <w:widowControl/>
        <w:adjustRightInd w:val="0"/>
        <w:snapToGrid w:val="0"/>
        <w:spacing w:line="520" w:lineRule="exact"/>
        <w:ind w:firstLine="316" w:firstLineChars="1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（二）条款标准达标率。</w:t>
      </w:r>
    </w:p>
    <w:tbl>
      <w:tblPr>
        <w:tblStyle w:val="5"/>
        <w:tblW w:w="8398" w:type="dxa"/>
        <w:jc w:val="center"/>
        <w:tblInd w:w="140" w:type="dxa"/>
        <w:tblLayout w:type="fixed"/>
        <w:tblCellMar>
          <w:top w:w="0" w:type="dxa"/>
          <w:left w:w="108" w:type="dxa"/>
          <w:bottom w:w="0" w:type="dxa"/>
          <w:right w:w="108" w:type="dxa"/>
        </w:tblCellMar>
      </w:tblPr>
      <w:tblGrid>
        <w:gridCol w:w="1056"/>
        <w:gridCol w:w="1189"/>
        <w:gridCol w:w="1189"/>
        <w:gridCol w:w="1189"/>
        <w:gridCol w:w="1189"/>
        <w:gridCol w:w="1189"/>
        <w:gridCol w:w="1397"/>
      </w:tblGrid>
      <w:tr>
        <w:tblPrEx>
          <w:tblLayout w:type="fixed"/>
          <w:tblCellMar>
            <w:top w:w="0" w:type="dxa"/>
            <w:left w:w="108" w:type="dxa"/>
            <w:bottom w:w="0" w:type="dxa"/>
            <w:right w:w="108" w:type="dxa"/>
          </w:tblCellMar>
        </w:tblPrEx>
        <w:trPr>
          <w:trHeight w:val="481" w:hRule="exact"/>
          <w:jc w:val="center"/>
        </w:trPr>
        <w:tc>
          <w:tcPr>
            <w:tcW w:w="1056" w:type="dxa"/>
            <w:vMerge w:val="restart"/>
            <w:tcBorders>
              <w:top w:val="single" w:color="auto" w:sz="4" w:space="0"/>
              <w:left w:val="single" w:color="auto" w:sz="4" w:space="0"/>
              <w:right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类  别</w:t>
            </w:r>
          </w:p>
        </w:tc>
        <w:tc>
          <w:tcPr>
            <w:tcW w:w="3567" w:type="dxa"/>
            <w:gridSpan w:val="3"/>
            <w:tcBorders>
              <w:top w:val="single" w:color="auto" w:sz="4" w:space="0"/>
              <w:left w:val="single" w:color="auto" w:sz="4" w:space="0"/>
              <w:bottom w:val="single" w:color="auto" w:sz="4" w:space="0"/>
              <w:right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基本条款（5条）</w:t>
            </w:r>
          </w:p>
        </w:tc>
        <w:tc>
          <w:tcPr>
            <w:tcW w:w="3775" w:type="dxa"/>
            <w:gridSpan w:val="3"/>
            <w:tcBorders>
              <w:top w:val="single" w:color="auto" w:sz="4" w:space="0"/>
              <w:left w:val="single" w:color="auto" w:sz="4" w:space="0"/>
              <w:bottom w:val="single" w:color="auto" w:sz="4" w:space="0"/>
              <w:right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核心条款（20条）</w:t>
            </w:r>
          </w:p>
        </w:tc>
      </w:tr>
      <w:tr>
        <w:tblPrEx>
          <w:tblLayout w:type="fixed"/>
          <w:tblCellMar>
            <w:top w:w="0" w:type="dxa"/>
            <w:left w:w="108" w:type="dxa"/>
            <w:bottom w:w="0" w:type="dxa"/>
            <w:right w:w="108" w:type="dxa"/>
          </w:tblCellMar>
        </w:tblPrEx>
        <w:trPr>
          <w:trHeight w:val="546" w:hRule="exact"/>
          <w:jc w:val="center"/>
        </w:trPr>
        <w:tc>
          <w:tcPr>
            <w:tcW w:w="1056" w:type="dxa"/>
            <w:vMerge w:val="continue"/>
            <w:tcBorders>
              <w:left w:val="single" w:color="auto" w:sz="4" w:space="0"/>
              <w:bottom w:val="single" w:color="auto" w:sz="4" w:space="0"/>
              <w:right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C档</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B档</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pStyle w:val="4"/>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A档</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C档</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B档</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pStyle w:val="4"/>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A档</w:t>
            </w:r>
          </w:p>
        </w:tc>
      </w:tr>
      <w:tr>
        <w:tblPrEx>
          <w:tblLayout w:type="fixed"/>
          <w:tblCellMar>
            <w:top w:w="0" w:type="dxa"/>
            <w:left w:w="108" w:type="dxa"/>
            <w:bottom w:w="0" w:type="dxa"/>
            <w:right w:w="108" w:type="dxa"/>
          </w:tblCellMar>
        </w:tblPrEx>
        <w:trPr>
          <w:trHeight w:val="646" w:hRule="exact"/>
          <w:jc w:val="center"/>
        </w:trPr>
        <w:tc>
          <w:tcPr>
            <w:tcW w:w="1056" w:type="dxa"/>
            <w:tcBorders>
              <w:top w:val="single" w:color="auto" w:sz="4" w:space="0"/>
              <w:left w:val="single" w:color="auto" w:sz="4" w:space="0"/>
              <w:bottom w:val="single" w:color="auto" w:sz="4" w:space="0"/>
              <w:right w:val="single" w:color="auto" w:sz="4" w:space="0"/>
            </w:tcBorders>
            <w:noWrap w:val="0"/>
            <w:vAlign w:val="center"/>
          </w:tcPr>
          <w:p>
            <w:pPr>
              <w:pStyle w:val="4"/>
              <w:widowControl/>
              <w:adjustRightInd w:val="0"/>
              <w:snapToGrid w:val="0"/>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达标率</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≥90%</w:t>
            </w:r>
          </w:p>
        </w:tc>
        <w:tc>
          <w:tcPr>
            <w:tcW w:w="1189" w:type="dxa"/>
            <w:tcBorders>
              <w:top w:val="single" w:color="auto" w:sz="4" w:space="0"/>
              <w:left w:val="single" w:color="auto" w:sz="4" w:space="0"/>
              <w:bottom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≥60%</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≥30%</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≥60%</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pStyle w:val="4"/>
              <w:widowControl/>
              <w:spacing w:line="52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≥30%</w:t>
            </w:r>
          </w:p>
        </w:tc>
      </w:tr>
    </w:tbl>
    <w:p>
      <w:pPr>
        <w:pStyle w:val="4"/>
        <w:widowControl/>
        <w:adjustRightInd w:val="0"/>
        <w:snapToGrid w:val="0"/>
        <w:spacing w:line="520" w:lineRule="exact"/>
        <w:ind w:firstLine="316" w:firstLineChars="100"/>
        <w:jc w:val="both"/>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（三）总体评价结果表达。</w:t>
      </w:r>
    </w:p>
    <w:tbl>
      <w:tblPr>
        <w:tblStyle w:val="5"/>
        <w:tblW w:w="8358" w:type="dxa"/>
        <w:jc w:val="center"/>
        <w:tblInd w:w="79" w:type="dxa"/>
        <w:tblLayout w:type="fixed"/>
        <w:tblCellMar>
          <w:top w:w="0" w:type="dxa"/>
          <w:left w:w="108" w:type="dxa"/>
          <w:bottom w:w="0" w:type="dxa"/>
          <w:right w:w="108" w:type="dxa"/>
        </w:tblCellMar>
      </w:tblPr>
      <w:tblGrid>
        <w:gridCol w:w="2102"/>
        <w:gridCol w:w="2226"/>
        <w:gridCol w:w="1922"/>
        <w:gridCol w:w="2108"/>
      </w:tblGrid>
      <w:tr>
        <w:tblPrEx>
          <w:tblLayout w:type="fixed"/>
          <w:tblCellMar>
            <w:top w:w="0" w:type="dxa"/>
            <w:left w:w="108" w:type="dxa"/>
            <w:bottom w:w="0" w:type="dxa"/>
            <w:right w:w="108" w:type="dxa"/>
          </w:tblCellMar>
        </w:tblPrEx>
        <w:trPr>
          <w:trHeight w:val="423" w:hRule="atLeast"/>
          <w:jc w:val="center"/>
        </w:trPr>
        <w:tc>
          <w:tcPr>
            <w:tcW w:w="2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优秀</w:t>
            </w:r>
          </w:p>
        </w:tc>
        <w:tc>
          <w:tcPr>
            <w:tcW w:w="2226" w:type="dxa"/>
            <w:tcBorders>
              <w:top w:val="single" w:color="000000" w:sz="4" w:space="0"/>
              <w:left w:val="nil"/>
              <w:bottom w:val="single" w:color="000000" w:sz="4" w:space="0"/>
              <w:right w:val="single" w:color="000000" w:sz="4" w:space="0"/>
            </w:tcBorders>
            <w:noWrap w:val="0"/>
            <w:vAlign w:val="center"/>
          </w:tcPr>
          <w:p>
            <w:pPr>
              <w:widowControl/>
              <w:spacing w:line="52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良好</w:t>
            </w:r>
          </w:p>
        </w:tc>
        <w:tc>
          <w:tcPr>
            <w:tcW w:w="1922" w:type="dxa"/>
            <w:tcBorders>
              <w:top w:val="single" w:color="000000" w:sz="4" w:space="0"/>
              <w:left w:val="nil"/>
              <w:bottom w:val="single" w:color="000000" w:sz="4" w:space="0"/>
              <w:right w:val="single" w:color="000000" w:sz="4" w:space="0"/>
            </w:tcBorders>
            <w:noWrap w:val="0"/>
            <w:vAlign w:val="center"/>
          </w:tcPr>
          <w:p>
            <w:pPr>
              <w:widowControl/>
              <w:spacing w:line="52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合格</w:t>
            </w:r>
          </w:p>
        </w:tc>
        <w:tc>
          <w:tcPr>
            <w:tcW w:w="2108" w:type="dxa"/>
            <w:tcBorders>
              <w:top w:val="single" w:color="000000" w:sz="4" w:space="0"/>
              <w:left w:val="nil"/>
              <w:bottom w:val="single" w:color="000000" w:sz="4" w:space="0"/>
              <w:right w:val="single" w:color="000000" w:sz="4" w:space="0"/>
            </w:tcBorders>
            <w:noWrap w:val="0"/>
            <w:vAlign w:val="center"/>
          </w:tcPr>
          <w:p>
            <w:pPr>
              <w:widowControl/>
              <w:spacing w:line="52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不合格</w:t>
            </w:r>
          </w:p>
        </w:tc>
      </w:tr>
      <w:tr>
        <w:tblPrEx>
          <w:tblLayout w:type="fixed"/>
          <w:tblCellMar>
            <w:top w:w="0" w:type="dxa"/>
            <w:left w:w="108" w:type="dxa"/>
            <w:bottom w:w="0" w:type="dxa"/>
            <w:right w:w="108" w:type="dxa"/>
          </w:tblCellMar>
        </w:tblPrEx>
        <w:trPr>
          <w:trHeight w:val="436" w:hRule="atLeast"/>
          <w:jc w:val="center"/>
        </w:trPr>
        <w:tc>
          <w:tcPr>
            <w:tcW w:w="2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达标率≥90%</w:t>
            </w:r>
          </w:p>
        </w:tc>
        <w:tc>
          <w:tcPr>
            <w:tcW w:w="2226" w:type="dxa"/>
            <w:tcBorders>
              <w:top w:val="single" w:color="000000" w:sz="4" w:space="0"/>
              <w:left w:val="nil"/>
              <w:bottom w:val="single" w:color="000000" w:sz="4" w:space="0"/>
              <w:right w:val="single" w:color="000000" w:sz="4" w:space="0"/>
            </w:tcBorders>
            <w:noWrap w:val="0"/>
            <w:vAlign w:val="center"/>
          </w:tcPr>
          <w:p>
            <w:pPr>
              <w:widowControl/>
              <w:spacing w:line="52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达标率≥80%</w:t>
            </w:r>
          </w:p>
        </w:tc>
        <w:tc>
          <w:tcPr>
            <w:tcW w:w="1922" w:type="dxa"/>
            <w:tcBorders>
              <w:top w:val="single" w:color="000000" w:sz="4" w:space="0"/>
              <w:left w:val="nil"/>
              <w:bottom w:val="single" w:color="000000" w:sz="4" w:space="0"/>
              <w:right w:val="single" w:color="000000" w:sz="4" w:space="0"/>
            </w:tcBorders>
            <w:noWrap w:val="0"/>
            <w:vAlign w:val="center"/>
          </w:tcPr>
          <w:p>
            <w:pPr>
              <w:widowControl/>
              <w:spacing w:line="52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达标率≥60%</w:t>
            </w:r>
          </w:p>
        </w:tc>
        <w:tc>
          <w:tcPr>
            <w:tcW w:w="2108" w:type="dxa"/>
            <w:tcBorders>
              <w:top w:val="single" w:color="000000" w:sz="4" w:space="0"/>
              <w:left w:val="nil"/>
              <w:bottom w:val="single" w:color="000000" w:sz="4" w:space="0"/>
              <w:right w:val="single" w:color="000000" w:sz="4" w:space="0"/>
            </w:tcBorders>
            <w:noWrap w:val="0"/>
            <w:vAlign w:val="center"/>
          </w:tcPr>
          <w:p>
            <w:pPr>
              <w:widowControl/>
              <w:spacing w:line="52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达标率&lt;60%</w:t>
            </w:r>
          </w:p>
        </w:tc>
      </w:tr>
    </w:tbl>
    <w:p>
      <w:pPr>
        <w:pStyle w:val="4"/>
        <w:widowControl/>
        <w:adjustRightInd w:val="0"/>
        <w:snapToGrid w:val="0"/>
        <w:spacing w:line="560" w:lineRule="exact"/>
        <w:jc w:val="center"/>
        <w:rPr>
          <w:rFonts w:hint="default" w:ascii="Times New Roman" w:hAnsi="Times New Roman" w:eastAsia="黑体" w:cs="Times New Roman"/>
          <w:bCs/>
          <w:color w:val="000000"/>
          <w:sz w:val="32"/>
          <w:szCs w:val="32"/>
          <w:lang w:bidi="ar"/>
        </w:rPr>
      </w:pPr>
    </w:p>
    <w:p>
      <w:pPr>
        <w:pStyle w:val="4"/>
        <w:widowControl/>
        <w:adjustRightInd w:val="0"/>
        <w:snapToGrid w:val="0"/>
        <w:spacing w:line="560" w:lineRule="exact"/>
        <w:jc w:val="center"/>
        <w:rPr>
          <w:rFonts w:hint="default" w:ascii="Times New Roman" w:hAnsi="Times New Roman" w:eastAsia="黑体" w:cs="Times New Roman"/>
          <w:bCs/>
          <w:color w:val="000000"/>
          <w:sz w:val="32"/>
          <w:szCs w:val="32"/>
          <w:lang w:bidi="ar"/>
        </w:rPr>
      </w:pPr>
    </w:p>
    <w:p>
      <w:pPr>
        <w:pStyle w:val="4"/>
        <w:widowControl/>
        <w:adjustRightInd w:val="0"/>
        <w:snapToGrid w:val="0"/>
        <w:spacing w:line="560" w:lineRule="exact"/>
        <w:jc w:val="center"/>
        <w:rPr>
          <w:rFonts w:hint="default" w:ascii="Times New Roman" w:hAnsi="Times New Roman" w:eastAsia="黑体" w:cs="Times New Roman"/>
          <w:bCs/>
          <w:color w:val="000000"/>
          <w:sz w:val="32"/>
          <w:szCs w:val="32"/>
          <w:lang w:bidi="ar"/>
        </w:rPr>
      </w:pPr>
      <w:r>
        <w:rPr>
          <w:rFonts w:hint="default" w:ascii="Times New Roman" w:hAnsi="Times New Roman" w:eastAsia="黑体" w:cs="Times New Roman"/>
          <w:bCs/>
          <w:color w:val="000000"/>
          <w:sz w:val="32"/>
          <w:szCs w:val="32"/>
          <w:lang w:bidi="ar"/>
        </w:rPr>
        <w:t>前置条件</w:t>
      </w:r>
    </w:p>
    <w:p>
      <w:pPr>
        <w:pStyle w:val="4"/>
        <w:widowControl/>
        <w:adjustRightInd w:val="0"/>
        <w:snapToGrid w:val="0"/>
        <w:spacing w:line="560" w:lineRule="exact"/>
        <w:ind w:firstLine="396" w:firstLineChars="100"/>
        <w:jc w:val="center"/>
        <w:rPr>
          <w:rFonts w:hint="default" w:ascii="Times New Roman" w:hAnsi="Times New Roman" w:eastAsia="黑体" w:cs="Times New Roman"/>
          <w:bCs/>
          <w:color w:val="000000"/>
          <w:sz w:val="40"/>
          <w:szCs w:val="40"/>
          <w:lang w:bidi="ar"/>
        </w:rPr>
      </w:pPr>
    </w:p>
    <w:tbl>
      <w:tblPr>
        <w:tblStyle w:val="5"/>
        <w:tblW w:w="8737" w:type="dxa"/>
        <w:jc w:val="center"/>
        <w:tblInd w:w="-338" w:type="dxa"/>
        <w:tblLayout w:type="fixed"/>
        <w:tblCellMar>
          <w:top w:w="15" w:type="dxa"/>
          <w:left w:w="15" w:type="dxa"/>
          <w:bottom w:w="15" w:type="dxa"/>
          <w:right w:w="15" w:type="dxa"/>
        </w:tblCellMar>
      </w:tblPr>
      <w:tblGrid>
        <w:gridCol w:w="1350"/>
        <w:gridCol w:w="1635"/>
        <w:gridCol w:w="5752"/>
      </w:tblGrid>
      <w:tr>
        <w:tblPrEx>
          <w:tblLayout w:type="fixed"/>
          <w:tblCellMar>
            <w:top w:w="15" w:type="dxa"/>
            <w:left w:w="15" w:type="dxa"/>
            <w:bottom w:w="15" w:type="dxa"/>
            <w:right w:w="15" w:type="dxa"/>
          </w:tblCellMar>
        </w:tblPrEx>
        <w:trPr>
          <w:trHeight w:val="810" w:hRule="atLeast"/>
          <w:jc w:val="center"/>
        </w:trPr>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kern w:val="0"/>
                <w:sz w:val="24"/>
                <w:szCs w:val="24"/>
                <w:lang w:bidi="ar"/>
              </w:rPr>
              <w:t>检查项目</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kern w:val="0"/>
                <w:sz w:val="24"/>
                <w:szCs w:val="24"/>
                <w:lang w:bidi="ar"/>
              </w:rPr>
              <w:t>检查结果</w:t>
            </w:r>
          </w:p>
        </w:tc>
        <w:tc>
          <w:tcPr>
            <w:tcW w:w="5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kern w:val="0"/>
                <w:sz w:val="24"/>
                <w:szCs w:val="24"/>
                <w:lang w:bidi="ar"/>
              </w:rPr>
              <w:t>检查内容</w:t>
            </w:r>
          </w:p>
        </w:tc>
      </w:tr>
      <w:tr>
        <w:tblPrEx>
          <w:tblLayout w:type="fixed"/>
          <w:tblCellMar>
            <w:top w:w="15" w:type="dxa"/>
            <w:left w:w="15" w:type="dxa"/>
            <w:bottom w:w="15" w:type="dxa"/>
            <w:right w:w="15" w:type="dxa"/>
          </w:tblCellMar>
        </w:tblPrEx>
        <w:trPr>
          <w:trHeight w:val="2566" w:hRule="atLeast"/>
          <w:jc w:val="center"/>
        </w:trPr>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政府主导</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符  合  □</w:t>
            </w:r>
            <w:r>
              <w:rPr>
                <w:rFonts w:hint="default" w:ascii="Times New Roman" w:hAnsi="Times New Roman" w:eastAsia="仿宋_GB2312" w:cs="Times New Roman"/>
                <w:color w:val="000000"/>
                <w:kern w:val="0"/>
                <w:sz w:val="28"/>
                <w:szCs w:val="28"/>
                <w:lang w:bidi="ar"/>
              </w:rPr>
              <w:br w:type="textWrapping"/>
            </w:r>
            <w:r>
              <w:rPr>
                <w:rFonts w:hint="default" w:ascii="Times New Roman" w:hAnsi="Times New Roman" w:eastAsia="仿宋_GB2312" w:cs="Times New Roman"/>
                <w:color w:val="000000"/>
                <w:kern w:val="0"/>
                <w:sz w:val="28"/>
                <w:szCs w:val="28"/>
                <w:lang w:bidi="ar"/>
              </w:rPr>
              <w:t>不符合  □</w:t>
            </w:r>
          </w:p>
        </w:tc>
        <w:tc>
          <w:tcPr>
            <w:tcW w:w="5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县级政府主导建设县域医共体，整合县域内医疗卫生资源，组建1-3个由县级公立医院牵头，若干家其他县级医院、乡镇卫生院和社区卫生服务中心、村卫生站和社区卫生服务站为成员单位的县域医共体。</w:t>
            </w:r>
          </w:p>
        </w:tc>
      </w:tr>
      <w:tr>
        <w:tblPrEx>
          <w:tblLayout w:type="fixed"/>
          <w:tblCellMar>
            <w:top w:w="15" w:type="dxa"/>
            <w:left w:w="15" w:type="dxa"/>
            <w:bottom w:w="15" w:type="dxa"/>
            <w:right w:w="15" w:type="dxa"/>
          </w:tblCellMar>
        </w:tblPrEx>
        <w:trPr>
          <w:trHeight w:val="1876" w:hRule="atLeast"/>
          <w:jc w:val="center"/>
        </w:trPr>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运行机制</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符  合  □</w:t>
            </w:r>
            <w:r>
              <w:rPr>
                <w:rFonts w:hint="default" w:ascii="Times New Roman" w:hAnsi="Times New Roman" w:eastAsia="仿宋_GB2312" w:cs="Times New Roman"/>
                <w:color w:val="000000"/>
                <w:kern w:val="0"/>
                <w:sz w:val="28"/>
                <w:szCs w:val="28"/>
                <w:lang w:bidi="ar"/>
              </w:rPr>
              <w:br w:type="textWrapping"/>
            </w:r>
            <w:r>
              <w:rPr>
                <w:rFonts w:hint="default" w:ascii="Times New Roman" w:hAnsi="Times New Roman" w:eastAsia="仿宋_GB2312" w:cs="Times New Roman"/>
                <w:color w:val="000000"/>
                <w:kern w:val="0"/>
                <w:sz w:val="28"/>
                <w:szCs w:val="28"/>
                <w:lang w:bidi="ar"/>
              </w:rPr>
              <w:t>不符合  □</w:t>
            </w:r>
          </w:p>
        </w:tc>
        <w:tc>
          <w:tcPr>
            <w:tcW w:w="5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建立党委领导下的总院长负责制，由牵头医院和各成员单位共同参与的议事决策机制，实行行政、人员、财务、质量、药械、信息“六统一”管理。</w:t>
            </w:r>
          </w:p>
        </w:tc>
      </w:tr>
      <w:tr>
        <w:tblPrEx>
          <w:tblLayout w:type="fixed"/>
          <w:tblCellMar>
            <w:top w:w="15" w:type="dxa"/>
            <w:left w:w="15" w:type="dxa"/>
            <w:bottom w:w="15" w:type="dxa"/>
            <w:right w:w="15" w:type="dxa"/>
          </w:tblCellMar>
        </w:tblPrEx>
        <w:trPr>
          <w:trHeight w:val="1876" w:hRule="atLeast"/>
          <w:jc w:val="center"/>
        </w:trPr>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机构管理</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符  合  □</w:t>
            </w:r>
            <w:r>
              <w:rPr>
                <w:rFonts w:hint="default" w:ascii="Times New Roman" w:hAnsi="Times New Roman" w:eastAsia="仿宋_GB2312" w:cs="Times New Roman"/>
                <w:color w:val="000000"/>
                <w:kern w:val="0"/>
                <w:sz w:val="28"/>
                <w:szCs w:val="28"/>
                <w:lang w:bidi="ar"/>
              </w:rPr>
              <w:br w:type="textWrapping"/>
            </w:r>
            <w:r>
              <w:rPr>
                <w:rFonts w:hint="default" w:ascii="Times New Roman" w:hAnsi="Times New Roman" w:eastAsia="仿宋_GB2312" w:cs="Times New Roman"/>
                <w:color w:val="000000"/>
                <w:kern w:val="0"/>
                <w:sz w:val="28"/>
                <w:szCs w:val="28"/>
                <w:lang w:bidi="ar"/>
              </w:rPr>
              <w:t>不符合  □</w:t>
            </w:r>
          </w:p>
        </w:tc>
        <w:tc>
          <w:tcPr>
            <w:tcW w:w="5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无《医疗机构执业许可证》出卖、租借行为，无对外出租、承包内部科室等行为。医共体内无发生重特大安全生产事故等“一票否决”事项。</w:t>
            </w:r>
          </w:p>
        </w:tc>
      </w:tr>
    </w:tbl>
    <w:p>
      <w:pPr>
        <w:pStyle w:val="4"/>
        <w:widowControl/>
        <w:adjustRightInd w:val="0"/>
        <w:snapToGrid w:val="0"/>
        <w:spacing w:after="289" w:afterLines="50" w:line="600" w:lineRule="exact"/>
        <w:ind w:firstLine="396" w:firstLineChars="100"/>
        <w:rPr>
          <w:rFonts w:hint="default" w:ascii="Times New Roman" w:hAnsi="Times New Roman" w:eastAsia="黑体" w:cs="Times New Roman"/>
          <w:bCs/>
          <w:color w:val="000000"/>
          <w:sz w:val="40"/>
          <w:szCs w:val="40"/>
          <w:lang w:bidi="ar"/>
        </w:rPr>
      </w:pPr>
    </w:p>
    <w:p>
      <w:pPr>
        <w:pStyle w:val="4"/>
        <w:widowControl/>
        <w:adjustRightInd w:val="0"/>
        <w:snapToGrid w:val="0"/>
        <w:spacing w:after="289" w:afterLines="50" w:line="600" w:lineRule="exact"/>
        <w:ind w:firstLine="396" w:firstLineChars="100"/>
        <w:rPr>
          <w:rFonts w:hint="default" w:ascii="Times New Roman" w:hAnsi="Times New Roman" w:eastAsia="黑体" w:cs="Times New Roman"/>
          <w:bCs/>
          <w:color w:val="000000"/>
          <w:sz w:val="40"/>
          <w:szCs w:val="40"/>
          <w:lang w:bidi="ar"/>
        </w:rPr>
      </w:pPr>
    </w:p>
    <w:p>
      <w:pPr>
        <w:pStyle w:val="4"/>
        <w:widowControl/>
        <w:adjustRightInd w:val="0"/>
        <w:snapToGrid w:val="0"/>
        <w:spacing w:after="289" w:afterLines="50" w:line="600" w:lineRule="exact"/>
        <w:ind w:firstLine="396" w:firstLineChars="100"/>
        <w:rPr>
          <w:rFonts w:hint="default" w:ascii="Times New Roman" w:hAnsi="Times New Roman" w:eastAsia="黑体" w:cs="Times New Roman"/>
          <w:bCs/>
          <w:color w:val="000000"/>
          <w:sz w:val="40"/>
          <w:szCs w:val="40"/>
          <w:lang w:bidi="ar"/>
        </w:rPr>
      </w:pPr>
    </w:p>
    <w:p>
      <w:pPr>
        <w:pStyle w:val="4"/>
        <w:widowControl/>
        <w:adjustRightInd w:val="0"/>
        <w:snapToGrid w:val="0"/>
        <w:spacing w:after="289" w:afterLines="50" w:line="600" w:lineRule="exact"/>
        <w:ind w:firstLine="396" w:firstLineChars="100"/>
        <w:rPr>
          <w:rFonts w:hint="default" w:ascii="Times New Roman" w:hAnsi="Times New Roman" w:eastAsia="黑体" w:cs="Times New Roman"/>
          <w:bCs/>
          <w:color w:val="000000"/>
          <w:sz w:val="40"/>
          <w:szCs w:val="40"/>
          <w:lang w:bidi="ar"/>
        </w:rPr>
      </w:pPr>
    </w:p>
    <w:p>
      <w:pPr>
        <w:pStyle w:val="4"/>
        <w:widowControl/>
        <w:adjustRightInd w:val="0"/>
        <w:snapToGrid w:val="0"/>
        <w:spacing w:after="289" w:afterLines="50" w:line="600" w:lineRule="exact"/>
        <w:ind w:firstLine="396" w:firstLineChars="100"/>
        <w:rPr>
          <w:rFonts w:hint="default" w:ascii="Times New Roman" w:hAnsi="Times New Roman" w:eastAsia="黑体" w:cs="Times New Roman"/>
          <w:bCs/>
          <w:color w:val="000000"/>
          <w:sz w:val="40"/>
          <w:szCs w:val="40"/>
          <w:lang w:bidi="ar"/>
        </w:rPr>
      </w:pPr>
    </w:p>
    <w:p>
      <w:pPr>
        <w:keepNext w:val="0"/>
        <w:keepLines w:val="0"/>
        <w:pageBreakBefore w:val="0"/>
        <w:widowControl w:val="0"/>
        <w:kinsoku/>
        <w:wordWrap/>
        <w:overflowPunct w:val="0"/>
        <w:topLinePunct w:val="0"/>
        <w:autoSpaceDE w:val="0"/>
        <w:autoSpaceDN w:val="0"/>
        <w:bidi w:val="0"/>
        <w:adjustRightInd w:val="0"/>
        <w:snapToGrid/>
        <w:spacing w:line="640" w:lineRule="exact"/>
        <w:jc w:val="center"/>
        <w:textAlignment w:val="auto"/>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目  录</w:t>
      </w:r>
    </w:p>
    <w:p>
      <w:pPr>
        <w:pStyle w:val="2"/>
        <w:keepNext w:val="0"/>
        <w:keepLines w:val="0"/>
        <w:pageBreakBefore w:val="0"/>
        <w:widowControl w:val="0"/>
        <w:kinsoku/>
        <w:wordWrap/>
        <w:overflowPunct/>
        <w:topLinePunct w:val="0"/>
        <w:autoSpaceDE/>
        <w:autoSpaceDN/>
        <w:bidi w:val="0"/>
        <w:adjustRightInd/>
        <w:snapToGrid/>
        <w:spacing w:before="2" w:after="60" w:afterLines="10" w:line="560" w:lineRule="exact"/>
        <w:ind w:left="-57" w:leftChars="0" w:right="-57" w:firstLine="640"/>
        <w:jc w:val="both"/>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第一部分 责任共同体</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1.1政府主导</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1.2总院长责任制</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1.3决策机制</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1.4目标管理</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kern w:val="0"/>
          <w:sz w:val="32"/>
          <w:szCs w:val="32"/>
        </w:rPr>
        <w:t>第二部分 管理共同体</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2.1行政统一管理</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2.2人员统一管理</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2.3财务统一管理</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2.4质量统一管理</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2.4.1统一质量管理部门及组织</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2.4.2质量与安全控制</w:t>
      </w:r>
      <w:r>
        <w:rPr>
          <w:rFonts w:hint="eastAsia" w:ascii="仿宋_GB2312" w:hAnsi="仿宋_GB2312" w:eastAsia="仿宋_GB2312" w:cs="仿宋_GB2312"/>
          <w:sz w:val="32"/>
          <w:szCs w:val="32"/>
        </w:rPr>
        <w:t>............. .............</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2.4.3同质化管理</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2.4.4规范临床诊疗</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2.5药械统一管理</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2.5.1药械统一管理部门及组织</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2.5.2药品耗材评价</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rightChars="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2.6</w:t>
      </w:r>
      <w:r>
        <w:rPr>
          <w:rFonts w:hint="default" w:ascii="Times New Roman" w:hAnsi="Times New Roman" w:eastAsia="仿宋_GB2312" w:cs="Times New Roman"/>
          <w:spacing w:val="-17"/>
          <w:sz w:val="32"/>
          <w:szCs w:val="32"/>
        </w:rPr>
        <w:t>信息统一管理</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2.7县域分级诊疗</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2.8公共卫生管理</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kern w:val="0"/>
          <w:sz w:val="32"/>
          <w:szCs w:val="32"/>
        </w:rPr>
        <w:t>第三部分 服务共同体</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3.1县域综合服务能力</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3.2县域内辐射能力</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3.3中医药服务</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3.3.1中医管理</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3.3.2中医医疗服务</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3.3.3中医药健康管理</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3.4慢病管理服务</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p>
    <w:p>
      <w:pPr>
        <w:pStyle w:val="2"/>
        <w:keepNext w:val="0"/>
        <w:keepLines w:val="0"/>
        <w:pageBreakBefore w:val="0"/>
        <w:numPr>
          <w:ilvl w:val="0"/>
          <w:numId w:val="0"/>
        </w:numPr>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第四部分</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利益共同体</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0" w:firstLineChars="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4.1</w:t>
      </w:r>
      <w:r>
        <w:rPr>
          <w:rFonts w:hint="default" w:ascii="Times New Roman" w:hAnsi="Times New Roman" w:eastAsia="仿宋_GB2312" w:cs="Times New Roman"/>
          <w:color w:val="000000"/>
          <w:kern w:val="0"/>
          <w:sz w:val="32"/>
          <w:szCs w:val="32"/>
          <w:lang w:bidi="ar"/>
        </w:rPr>
        <w:t>财政投入统一管理★</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第五部分 运营成效</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5.1社会效益</w:t>
      </w:r>
      <w:r>
        <w:rPr>
          <w:rFonts w:hint="default" w:ascii="Times New Roman" w:hAnsi="Times New Roman" w:eastAsia="仿宋_GB2312" w:cs="Times New Roman"/>
          <w:color w:val="000000"/>
          <w:kern w:val="0"/>
          <w:sz w:val="32"/>
          <w:szCs w:val="32"/>
          <w:lang w:bidi="ar"/>
        </w:rPr>
        <w:t>★</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5.2运行结构优化效益</w:t>
      </w:r>
      <w:r>
        <w:rPr>
          <w:rFonts w:hint="default" w:ascii="Times New Roman" w:hAnsi="Times New Roman" w:eastAsia="仿宋_GB2312" w:cs="Times New Roman"/>
          <w:color w:val="000000"/>
          <w:kern w:val="0"/>
          <w:sz w:val="32"/>
          <w:szCs w:val="32"/>
          <w:lang w:bidi="ar"/>
        </w:rPr>
        <w: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before="2" w:after="60" w:afterLines="10" w:line="560" w:lineRule="exact"/>
        <w:ind w:left="-57" w:leftChars="0" w:right="-57" w:firstLine="948" w:firstLineChars="300"/>
        <w:jc w:val="both"/>
        <w:textAlignment w:val="auto"/>
        <w:rPr>
          <w:rFonts w:hint="default" w:ascii="Times New Roman" w:hAnsi="Times New Roman" w:eastAsia="楷体_GB2312" w:cs="Times New Roman"/>
          <w:szCs w:val="32"/>
        </w:rPr>
        <w:sectPr>
          <w:footerReference r:id="rId3" w:type="default"/>
          <w:pgSz w:w="11906" w:h="16838"/>
          <w:pgMar w:top="2041" w:right="1531" w:bottom="2041" w:left="1531" w:header="851" w:footer="1332" w:gutter="0"/>
          <w:pgBorders>
            <w:top w:val="none" w:sz="0" w:space="0"/>
            <w:left w:val="none" w:sz="0" w:space="0"/>
            <w:bottom w:val="none" w:sz="0" w:space="0"/>
            <w:right w:val="none" w:sz="0" w:space="0"/>
          </w:pgBorders>
          <w:pgNumType w:fmt="numberInDash"/>
          <w:cols w:space="720" w:num="1"/>
          <w:titlePg/>
          <w:rtlGutter w:val="0"/>
          <w:docGrid w:type="linesAndChars" w:linePitch="579" w:charSpace="-849"/>
        </w:sectPr>
      </w:pPr>
    </w:p>
    <w:p>
      <w:pPr>
        <w:pStyle w:val="4"/>
        <w:widowControl/>
        <w:adjustRightInd w:val="0"/>
        <w:snapToGrid w:val="0"/>
        <w:spacing w:after="289" w:afterLines="50" w:line="600" w:lineRule="exact"/>
        <w:ind w:firstLine="0" w:firstLineChars="0"/>
        <w:rPr>
          <w:rFonts w:hint="default" w:ascii="Times New Roman" w:hAnsi="Times New Roman" w:eastAsia="黑体" w:cs="Times New Roman"/>
          <w:bCs/>
          <w:color w:val="000000"/>
          <w:sz w:val="40"/>
          <w:szCs w:val="40"/>
          <w:lang w:bidi="ar"/>
        </w:rPr>
      </w:pPr>
    </w:p>
    <w:tbl>
      <w:tblPr>
        <w:tblStyle w:val="5"/>
        <w:tblW w:w="9415" w:type="dxa"/>
        <w:tblInd w:w="-338" w:type="dxa"/>
        <w:tblLayout w:type="fixed"/>
        <w:tblCellMar>
          <w:top w:w="15" w:type="dxa"/>
          <w:left w:w="15" w:type="dxa"/>
          <w:bottom w:w="15" w:type="dxa"/>
          <w:right w:w="15" w:type="dxa"/>
        </w:tblCellMar>
      </w:tblPr>
      <w:tblGrid>
        <w:gridCol w:w="1085"/>
        <w:gridCol w:w="1078"/>
        <w:gridCol w:w="7252"/>
      </w:tblGrid>
      <w:tr>
        <w:tblPrEx>
          <w:tblLayout w:type="fixed"/>
          <w:tblCellMar>
            <w:top w:w="15" w:type="dxa"/>
            <w:left w:w="15" w:type="dxa"/>
            <w:bottom w:w="15" w:type="dxa"/>
            <w:right w:w="15" w:type="dxa"/>
          </w:tblCellMar>
        </w:tblPrEx>
        <w:trPr>
          <w:trHeight w:val="465" w:hRule="atLeast"/>
          <w:tblHeader/>
        </w:trPr>
        <w:tc>
          <w:tcPr>
            <w:tcW w:w="10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kern w:val="0"/>
                <w:sz w:val="24"/>
                <w:szCs w:val="24"/>
                <w:lang w:bidi="ar"/>
              </w:rPr>
              <w:t>一级指标</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kern w:val="0"/>
                <w:sz w:val="24"/>
                <w:szCs w:val="24"/>
                <w:lang w:bidi="ar"/>
              </w:rPr>
              <w:t>二级指标</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kern w:val="0"/>
                <w:sz w:val="24"/>
                <w:szCs w:val="24"/>
                <w:lang w:bidi="ar"/>
              </w:rPr>
              <w:t>三级指标（评价要点）</w:t>
            </w:r>
          </w:p>
        </w:tc>
      </w:tr>
      <w:tr>
        <w:tblPrEx>
          <w:tblLayout w:type="fixed"/>
          <w:tblCellMar>
            <w:top w:w="15" w:type="dxa"/>
            <w:left w:w="15" w:type="dxa"/>
            <w:bottom w:w="15" w:type="dxa"/>
            <w:right w:w="15" w:type="dxa"/>
          </w:tblCellMar>
        </w:tblPrEx>
        <w:trPr>
          <w:trHeight w:val="420" w:hRule="atLeast"/>
        </w:trPr>
        <w:tc>
          <w:tcPr>
            <w:tcW w:w="10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一、责任共同体</w:t>
            </w: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1.1政府主导★</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9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1.县级政府对县域医共体建设工作负总责，建立由县级政府主要负责同志牵头，编制、发展改革、财政、人力资源社会保障、自然资源、卫生健康、市场监管、医保等部门和县域医共体成员单位参与的管理委员会</w:t>
            </w:r>
            <w:r>
              <w:rPr>
                <w:rFonts w:hint="default" w:ascii="Times New Roman" w:hAnsi="Times New Roman" w:eastAsia="仿宋_GB2312" w:cs="Times New Roman"/>
                <w:color w:val="000000"/>
                <w:kern w:val="0"/>
                <w:sz w:val="24"/>
                <w:szCs w:val="24"/>
                <w:lang w:eastAsia="zh-CN" w:bidi="ar"/>
              </w:rPr>
              <w:t>机制，</w:t>
            </w:r>
            <w:r>
              <w:rPr>
                <w:rFonts w:hint="default" w:ascii="Times New Roman" w:hAnsi="Times New Roman" w:eastAsia="仿宋_GB2312" w:cs="Times New Roman"/>
                <w:color w:val="000000"/>
                <w:kern w:val="0"/>
                <w:sz w:val="24"/>
                <w:szCs w:val="24"/>
                <w:lang w:bidi="ar"/>
              </w:rPr>
              <w:t>协调推进。坚持政府主导，根据区域内医疗卫生资源结构与布局，有序推进县域医共体建设。落实财政投入，保障公立医疗卫生机构公益性。</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2.有完整的政府主导的</w:t>
            </w:r>
            <w:r>
              <w:rPr>
                <w:rFonts w:hint="default" w:ascii="Times New Roman" w:hAnsi="Times New Roman" w:eastAsia="仿宋_GB2312" w:cs="Times New Roman"/>
                <w:color w:val="000000"/>
                <w:kern w:val="0"/>
                <w:sz w:val="24"/>
                <w:szCs w:val="24"/>
                <w:lang w:eastAsia="zh-CN" w:bidi="ar"/>
              </w:rPr>
              <w:t>管委会</w:t>
            </w:r>
            <w:r>
              <w:rPr>
                <w:rFonts w:hint="default" w:ascii="Times New Roman" w:hAnsi="Times New Roman" w:eastAsia="仿宋_GB2312" w:cs="Times New Roman"/>
                <w:color w:val="000000"/>
                <w:kern w:val="0"/>
                <w:sz w:val="24"/>
                <w:szCs w:val="24"/>
                <w:lang w:bidi="ar"/>
              </w:rPr>
              <w:t>架构</w:t>
            </w:r>
            <w:r>
              <w:rPr>
                <w:rFonts w:hint="default" w:ascii="Times New Roman" w:hAnsi="Times New Roman" w:eastAsia="仿宋_GB2312" w:cs="Times New Roman"/>
                <w:color w:val="000000"/>
                <w:kern w:val="0"/>
                <w:sz w:val="24"/>
                <w:szCs w:val="24"/>
                <w:lang w:eastAsia="zh-CN" w:bidi="ar"/>
              </w:rPr>
              <w:t>和程序，</w:t>
            </w:r>
            <w:r>
              <w:rPr>
                <w:rFonts w:hint="default" w:ascii="Times New Roman" w:hAnsi="Times New Roman" w:eastAsia="仿宋_GB2312" w:cs="Times New Roman"/>
                <w:color w:val="000000"/>
                <w:kern w:val="0"/>
                <w:sz w:val="24"/>
                <w:szCs w:val="24"/>
                <w:lang w:bidi="ar"/>
              </w:rPr>
              <w:t>推进县域医共体建设。</w:t>
            </w:r>
          </w:p>
        </w:tc>
      </w:tr>
      <w:tr>
        <w:tblPrEx>
          <w:tblLayout w:type="fixed"/>
          <w:tblCellMar>
            <w:top w:w="15" w:type="dxa"/>
            <w:left w:w="15" w:type="dxa"/>
            <w:bottom w:w="15" w:type="dxa"/>
            <w:right w:w="15" w:type="dxa"/>
          </w:tblCellMar>
        </w:tblPrEx>
        <w:trPr>
          <w:trHeight w:val="69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r>
              <w:rPr>
                <w:rFonts w:hint="default" w:ascii="Times New Roman" w:hAnsi="Times New Roman" w:eastAsia="仿宋_GB2312" w:cs="Times New Roman"/>
                <w:color w:val="000000"/>
                <w:kern w:val="0"/>
                <w:sz w:val="24"/>
                <w:szCs w:val="24"/>
                <w:lang w:eastAsia="zh-CN" w:bidi="ar"/>
              </w:rPr>
              <w:t>县域医共体管委会对其上级需要支持的重大事项能定期审定，并给予及时解决，完善外部治理</w:t>
            </w:r>
            <w:r>
              <w:rPr>
                <w:rFonts w:hint="default" w:ascii="Times New Roman" w:hAnsi="Times New Roman" w:eastAsia="仿宋_GB2312" w:cs="Times New Roman"/>
                <w:color w:val="000000"/>
                <w:kern w:val="0"/>
                <w:sz w:val="24"/>
                <w:szCs w:val="24"/>
                <w:lang w:bidi="ar"/>
              </w:rPr>
              <w:t>。</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【B】符合“C”，并</w:t>
            </w:r>
          </w:p>
        </w:tc>
      </w:tr>
      <w:tr>
        <w:tblPrEx>
          <w:tblLayout w:type="fixed"/>
          <w:tblCellMar>
            <w:top w:w="15" w:type="dxa"/>
            <w:left w:w="15" w:type="dxa"/>
            <w:bottom w:w="15" w:type="dxa"/>
            <w:right w:w="15" w:type="dxa"/>
          </w:tblCellMar>
        </w:tblPrEx>
        <w:trPr>
          <w:trHeight w:val="81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1.统筹组织县域医共体建设，制定建设方案，明确建设目标和具体任务，并协调推进人事、薪酬、医保支付、医疗服务价格调整等各项改革措施。</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2.充分授权，落实总医院的自主管理。</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rPr>
              <w:t>3.对县域医共体有效考核，并将考核结果与院长的聘任和年薪挂钩。</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669"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1.有社会办医疗机构和康复院、护理院加入县域医共体，</w:t>
            </w:r>
            <w:r>
              <w:rPr>
                <w:rFonts w:hint="default" w:ascii="Times New Roman" w:hAnsi="Times New Roman" w:eastAsia="仿宋_GB2312" w:cs="Times New Roman"/>
                <w:color w:val="000000"/>
                <w:kern w:val="0"/>
                <w:sz w:val="24"/>
                <w:szCs w:val="24"/>
                <w:lang w:eastAsia="zh-CN" w:bidi="ar"/>
              </w:rPr>
              <w:t>或者</w:t>
            </w:r>
            <w:r>
              <w:rPr>
                <w:rFonts w:hint="default" w:ascii="Times New Roman" w:hAnsi="Times New Roman" w:eastAsia="仿宋_GB2312" w:cs="Times New Roman"/>
                <w:color w:val="000000"/>
                <w:kern w:val="0"/>
                <w:sz w:val="24"/>
                <w:szCs w:val="24"/>
                <w:lang w:bidi="ar"/>
              </w:rPr>
              <w:t>有社会办医疗机构主动联合社会办诊所等组建</w:t>
            </w:r>
            <w:r>
              <w:rPr>
                <w:rFonts w:hint="default" w:ascii="Times New Roman" w:hAnsi="Times New Roman" w:eastAsia="仿宋_GB2312" w:cs="Times New Roman"/>
                <w:color w:val="000000"/>
                <w:kern w:val="0"/>
                <w:sz w:val="24"/>
                <w:szCs w:val="24"/>
                <w:lang w:eastAsia="zh-CN" w:bidi="ar"/>
              </w:rPr>
              <w:t>的</w:t>
            </w:r>
            <w:r>
              <w:rPr>
                <w:rFonts w:hint="default" w:ascii="Times New Roman" w:hAnsi="Times New Roman" w:eastAsia="仿宋_GB2312" w:cs="Times New Roman"/>
                <w:color w:val="000000"/>
                <w:kern w:val="0"/>
                <w:sz w:val="24"/>
                <w:szCs w:val="24"/>
                <w:lang w:bidi="ar"/>
              </w:rPr>
              <w:t>县域医共体。</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1.2总院长责任制★</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【C】</w:t>
            </w:r>
          </w:p>
        </w:tc>
      </w:tr>
      <w:tr>
        <w:tblPrEx>
          <w:tblLayout w:type="fixed"/>
          <w:tblCellMar>
            <w:top w:w="15" w:type="dxa"/>
            <w:left w:w="15" w:type="dxa"/>
            <w:bottom w:w="15" w:type="dxa"/>
            <w:right w:w="15" w:type="dxa"/>
          </w:tblCellMar>
        </w:tblPrEx>
        <w:trPr>
          <w:trHeight w:val="9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1.建立党委领导下的总院长负责制，制定总医院领导班子、各分院院长和“行政、人员、财务、质量、药械、信息”“六统一”管理的职能中心的工作职责，并明确责任。</w:t>
            </w:r>
          </w:p>
        </w:tc>
      </w:tr>
      <w:tr>
        <w:tblPrEx>
          <w:tblLayout w:type="fixed"/>
          <w:tblCellMar>
            <w:top w:w="15" w:type="dxa"/>
            <w:left w:w="15" w:type="dxa"/>
            <w:bottom w:w="15" w:type="dxa"/>
            <w:right w:w="15" w:type="dxa"/>
          </w:tblCellMar>
        </w:tblPrEx>
        <w:trPr>
          <w:trHeight w:val="46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2.县域医共体牵头医院逐步建立健全现代医院管理制度，制定总医院章程。</w:t>
            </w:r>
          </w:p>
        </w:tc>
      </w:tr>
      <w:tr>
        <w:tblPrEx>
          <w:tblLayout w:type="fixed"/>
          <w:tblCellMar>
            <w:top w:w="15" w:type="dxa"/>
            <w:left w:w="15" w:type="dxa"/>
            <w:bottom w:w="15" w:type="dxa"/>
            <w:right w:w="15" w:type="dxa"/>
          </w:tblCellMar>
        </w:tblPrEx>
        <w:trPr>
          <w:trHeight w:val="9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3.建立总院与分院的组织架构，体现总院长是第一责任人。</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【B】符合“C”，并</w:t>
            </w:r>
          </w:p>
        </w:tc>
      </w:tr>
      <w:tr>
        <w:tblPrEx>
          <w:tblLayout w:type="fixed"/>
          <w:tblCellMar>
            <w:top w:w="15" w:type="dxa"/>
            <w:left w:w="15" w:type="dxa"/>
            <w:bottom w:w="15" w:type="dxa"/>
            <w:right w:w="15" w:type="dxa"/>
          </w:tblCellMar>
        </w:tblPrEx>
        <w:trPr>
          <w:trHeight w:val="105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1.建立总医院领导班子、各分院院长和“行政、人员、财务、质量、药械、信息”“六统一”管理的职能中心负责人共同参与研究、讨论县域医共体的发展的议事决策机制。</w:t>
            </w:r>
          </w:p>
        </w:tc>
      </w:tr>
      <w:tr>
        <w:tblPrEx>
          <w:tblLayout w:type="fixed"/>
          <w:tblCellMar>
            <w:top w:w="15" w:type="dxa"/>
            <w:left w:w="15" w:type="dxa"/>
            <w:bottom w:w="15" w:type="dxa"/>
            <w:right w:w="15" w:type="dxa"/>
          </w:tblCellMar>
        </w:tblPrEx>
        <w:trPr>
          <w:trHeight w:val="63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2.医共体建设成绩显著，具有典型示范作用，在地级市会议上发言、书面交流、受到表彰。</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3.县域医共体总医院总院长对各分院负责人具有直接任免权。</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1.鼓励县域医共体成员单位全体员工参与医院管理，提出建议和意见。</w:t>
            </w:r>
          </w:p>
        </w:tc>
      </w:tr>
      <w:tr>
        <w:tblPrEx>
          <w:tblLayout w:type="fixed"/>
          <w:tblCellMar>
            <w:top w:w="15" w:type="dxa"/>
            <w:left w:w="15" w:type="dxa"/>
            <w:bottom w:w="15" w:type="dxa"/>
            <w:right w:w="15" w:type="dxa"/>
          </w:tblCellMar>
        </w:tblPrEx>
        <w:trPr>
          <w:trHeight w:val="644"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2.县域医共体运行状况与现代医院管理制度及组织架构图相符，能够满足县域医共体运行需要。</w:t>
            </w:r>
          </w:p>
        </w:tc>
      </w:tr>
      <w:tr>
        <w:tblPrEx>
          <w:tblLayout w:type="fixed"/>
          <w:tblCellMar>
            <w:top w:w="15" w:type="dxa"/>
            <w:left w:w="15" w:type="dxa"/>
            <w:bottom w:w="15" w:type="dxa"/>
            <w:right w:w="15" w:type="dxa"/>
          </w:tblCellMar>
        </w:tblPrEx>
        <w:trPr>
          <w:trHeight w:val="56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3.医共体建设成绩显著，具有典型示范作用，在国家级、省级会议上发言、书面交流、受到表彰。</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1.3决策机制★</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83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1.建立健全县域医共体内部</w:t>
            </w:r>
            <w:r>
              <w:rPr>
                <w:rFonts w:hint="default" w:ascii="Times New Roman" w:hAnsi="Times New Roman" w:eastAsia="仿宋_GB2312" w:cs="Times New Roman"/>
                <w:color w:val="000000"/>
                <w:kern w:val="0"/>
                <w:sz w:val="24"/>
                <w:szCs w:val="24"/>
                <w:lang w:eastAsia="zh-CN" w:bidi="ar"/>
              </w:rPr>
              <w:t>总院分院</w:t>
            </w:r>
            <w:r>
              <w:rPr>
                <w:rFonts w:hint="default" w:ascii="Times New Roman" w:hAnsi="Times New Roman" w:eastAsia="仿宋_GB2312" w:cs="Times New Roman"/>
                <w:color w:val="000000"/>
                <w:kern w:val="0"/>
                <w:sz w:val="24"/>
                <w:szCs w:val="24"/>
                <w:lang w:bidi="ar"/>
              </w:rPr>
              <w:t>议事决策机制，集体讨论决定重大决策、重要干部任免、重大项目投资、大额资金使用等事项，接受职工监督。</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val="en-US" w:eastAsia="zh-CN" w:bidi="ar"/>
              </w:rPr>
              <w:t>2</w:t>
            </w:r>
            <w:r>
              <w:rPr>
                <w:rFonts w:hint="default" w:ascii="Times New Roman" w:hAnsi="Times New Roman" w:eastAsia="仿宋_GB2312" w:cs="Times New Roman"/>
                <w:color w:val="000000"/>
                <w:kern w:val="0"/>
                <w:sz w:val="24"/>
                <w:szCs w:val="24"/>
                <w:lang w:bidi="ar"/>
              </w:rPr>
              <w:t>.“三重一大”事项按管理权限和规定报批，按信息公开规定予以公示。</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【B】符合“C”，并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1.多种渠道和方式公开“三重一大”信息，职工知晓率≥80%。</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2.相关重大事项应事前充分论证。</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567"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1.重大事项应充分征求职工代表会的意见</w:t>
            </w:r>
            <w:r>
              <w:rPr>
                <w:rFonts w:hint="default" w:ascii="Times New Roman" w:hAnsi="Times New Roman" w:eastAsia="仿宋_GB2312" w:cs="Times New Roman"/>
                <w:color w:val="000000"/>
                <w:kern w:val="0"/>
                <w:sz w:val="24"/>
                <w:szCs w:val="24"/>
                <w:lang w:eastAsia="zh-CN" w:bidi="ar"/>
              </w:rPr>
              <w:t>，经县域医共体党委讨论决定（包含分院）</w:t>
            </w:r>
            <w:r>
              <w:rPr>
                <w:rFonts w:hint="default" w:ascii="Times New Roman" w:hAnsi="Times New Roman" w:eastAsia="仿宋_GB2312" w:cs="Times New Roman"/>
                <w:color w:val="000000"/>
                <w:kern w:val="0"/>
                <w:sz w:val="24"/>
                <w:szCs w:val="24"/>
                <w:lang w:bidi="ar"/>
              </w:rPr>
              <w:t>。</w:t>
            </w:r>
          </w:p>
        </w:tc>
      </w:tr>
      <w:tr>
        <w:tblPrEx>
          <w:tblLayout w:type="fixed"/>
          <w:tblCellMar>
            <w:top w:w="15" w:type="dxa"/>
            <w:left w:w="15" w:type="dxa"/>
            <w:bottom w:w="15" w:type="dxa"/>
            <w:right w:w="15" w:type="dxa"/>
          </w:tblCellMar>
        </w:tblPrEx>
        <w:trPr>
          <w:trHeight w:val="338"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1.4目标管理★</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634"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1.县域医共体拥有内部人事管理自主权，包括人员招聘、人才引进、岗位设置、绩效考核、收入分配等自主权。</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2.县域医共体内实行目标自主管理责任制，有考核办法。</w:t>
            </w:r>
          </w:p>
        </w:tc>
      </w:tr>
      <w:tr>
        <w:tblPrEx>
          <w:tblLayout w:type="fixed"/>
          <w:tblCellMar>
            <w:top w:w="15" w:type="dxa"/>
            <w:left w:w="15" w:type="dxa"/>
            <w:bottom w:w="15" w:type="dxa"/>
            <w:right w:w="15" w:type="dxa"/>
          </w:tblCellMar>
        </w:tblPrEx>
        <w:trPr>
          <w:trHeight w:val="701"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3.有指定职能部门负责效能建设，提高执行力，职能部门人员对本部门、本岗位管理责任目标的知晓率≥80%。</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【B】符合“C”，并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1.对目标责任的落实情况有定期督导检查。</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2.落实</w:t>
            </w:r>
            <w:r>
              <w:rPr>
                <w:rFonts w:hint="default" w:ascii="Times New Roman" w:hAnsi="Times New Roman" w:eastAsia="仿宋_GB2312" w:cs="Times New Roman"/>
                <w:color w:val="000000"/>
                <w:kern w:val="0"/>
                <w:sz w:val="24"/>
                <w:szCs w:val="24"/>
                <w:lang w:eastAsia="zh-CN" w:bidi="ar"/>
              </w:rPr>
              <w:t>县域医共体内</w:t>
            </w:r>
            <w:r>
              <w:rPr>
                <w:rFonts w:hint="default" w:ascii="Times New Roman" w:hAnsi="Times New Roman" w:eastAsia="仿宋_GB2312" w:cs="Times New Roman"/>
                <w:color w:val="000000"/>
                <w:kern w:val="0"/>
                <w:sz w:val="24"/>
                <w:szCs w:val="24"/>
                <w:lang w:bidi="ar"/>
              </w:rPr>
              <w:t>目标考核奖惩措施。</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1.实现责任目标，取得良好成效。有目标管理责任制考核总结评价。</w:t>
            </w:r>
          </w:p>
        </w:tc>
      </w:tr>
      <w:tr>
        <w:tblPrEx>
          <w:tblLayout w:type="fixed"/>
          <w:tblCellMar>
            <w:top w:w="15" w:type="dxa"/>
            <w:left w:w="15" w:type="dxa"/>
            <w:bottom w:w="15" w:type="dxa"/>
            <w:right w:w="15" w:type="dxa"/>
          </w:tblCellMar>
        </w:tblPrEx>
        <w:trPr>
          <w:trHeight w:val="90" w:hRule="atLeast"/>
        </w:trPr>
        <w:tc>
          <w:tcPr>
            <w:tcW w:w="10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二、管理共同体</w:t>
            </w: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2.1行政统一管理★</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81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1.在总医院章程内规定县域医共体各成员单位法人资格、机构性质、职工身份、投入保障保持不变，功能定位与职责任务不变。</w:t>
            </w:r>
            <w:r>
              <w:rPr>
                <w:rFonts w:hint="default" w:ascii="Times New Roman" w:hAnsi="Times New Roman" w:eastAsia="仿宋_GB2312" w:cs="Times New Roman"/>
                <w:color w:val="000000"/>
                <w:kern w:val="0"/>
                <w:sz w:val="24"/>
                <w:szCs w:val="24"/>
                <w:lang w:eastAsia="zh-CN" w:bidi="ar"/>
              </w:rPr>
              <w:t>实行唯一法定代表人，其法定代表人由牵头医院负责人担（兼）任。</w:t>
            </w:r>
          </w:p>
        </w:tc>
      </w:tr>
      <w:tr>
        <w:tblPrEx>
          <w:tblLayout w:type="fixed"/>
          <w:tblCellMar>
            <w:top w:w="15" w:type="dxa"/>
            <w:left w:w="15" w:type="dxa"/>
            <w:bottom w:w="15" w:type="dxa"/>
            <w:right w:w="15" w:type="dxa"/>
          </w:tblCellMar>
        </w:tblPrEx>
        <w:trPr>
          <w:trHeight w:val="584"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2.按照“六统一”（行政、人员、财务、质量、药械、信息）管理在总医院设置相应的职能管理部门，职责及组织架构明确。</w:t>
            </w:r>
          </w:p>
        </w:tc>
      </w:tr>
      <w:tr>
        <w:tblPrEx>
          <w:tblLayout w:type="fixed"/>
          <w:tblCellMar>
            <w:top w:w="15" w:type="dxa"/>
            <w:left w:w="15" w:type="dxa"/>
            <w:bottom w:w="15" w:type="dxa"/>
            <w:right w:w="15" w:type="dxa"/>
          </w:tblCellMar>
        </w:tblPrEx>
        <w:trPr>
          <w:trHeight w:val="30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3.行政村卫生站实现一体化管理覆盖率达到≥60%。</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【B】符合“C”，并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1.相关人员对本部门、本岗位的履职要求知晓率≥80%</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_GB2312" w:cs="Times New Roman"/>
                <w:color w:val="000000"/>
                <w:kern w:val="0"/>
                <w:sz w:val="24"/>
                <w:szCs w:val="24"/>
                <w:lang w:bidi="ar"/>
              </w:rPr>
              <w:t>总医院相应的职能管理部门落实管理职责。</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val="en-US" w:eastAsia="zh-CN" w:bidi="ar"/>
              </w:rPr>
              <w:t>2</w:t>
            </w:r>
            <w:r>
              <w:rPr>
                <w:rFonts w:hint="default" w:ascii="Times New Roman" w:hAnsi="Times New Roman" w:eastAsia="仿宋_GB2312" w:cs="Times New Roman"/>
                <w:color w:val="000000"/>
                <w:kern w:val="0"/>
                <w:sz w:val="24"/>
                <w:szCs w:val="24"/>
                <w:lang w:bidi="ar"/>
              </w:rPr>
              <w:t>.行政村卫生站实现一体化管理覆盖率达到≥8</w:t>
            </w:r>
            <w:r>
              <w:rPr>
                <w:rFonts w:hint="default" w:ascii="Times New Roman" w:hAnsi="Times New Roman" w:eastAsia="仿宋_GB2312" w:cs="Times New Roman"/>
                <w:color w:val="000000"/>
                <w:kern w:val="0"/>
                <w:sz w:val="24"/>
                <w:szCs w:val="24"/>
                <w:lang w:val="en-US" w:eastAsia="zh-CN" w:bidi="ar"/>
              </w:rPr>
              <w:t>5</w:t>
            </w:r>
            <w:r>
              <w:rPr>
                <w:rFonts w:hint="default" w:ascii="Times New Roman" w:hAnsi="Times New Roman" w:eastAsia="仿宋_GB2312" w:cs="Times New Roman"/>
                <w:color w:val="000000"/>
                <w:kern w:val="0"/>
                <w:sz w:val="24"/>
                <w:szCs w:val="24"/>
                <w:lang w:bidi="ar"/>
              </w:rPr>
              <w:t>%。</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1.总医院职能管理部门管理制度健全，运行顺畅，能够满足</w:t>
            </w:r>
            <w:r>
              <w:rPr>
                <w:rFonts w:hint="default" w:ascii="Times New Roman" w:hAnsi="Times New Roman" w:eastAsia="仿宋_GB2312" w:cs="Times New Roman"/>
                <w:color w:val="000000"/>
                <w:kern w:val="0"/>
                <w:sz w:val="24"/>
                <w:szCs w:val="24"/>
                <w:lang w:eastAsia="zh-CN" w:bidi="ar"/>
              </w:rPr>
              <w:t>医共体</w:t>
            </w:r>
            <w:r>
              <w:rPr>
                <w:rFonts w:hint="default" w:ascii="Times New Roman" w:hAnsi="Times New Roman" w:eastAsia="仿宋_GB2312" w:cs="Times New Roman"/>
                <w:color w:val="000000"/>
                <w:kern w:val="0"/>
                <w:sz w:val="24"/>
                <w:szCs w:val="24"/>
                <w:lang w:bidi="ar"/>
              </w:rPr>
              <w:t>医疗卫生健康服务</w:t>
            </w:r>
            <w:r>
              <w:rPr>
                <w:rFonts w:hint="default" w:ascii="Times New Roman" w:hAnsi="Times New Roman" w:eastAsia="仿宋_GB2312" w:cs="Times New Roman"/>
                <w:color w:val="000000"/>
                <w:kern w:val="0"/>
                <w:sz w:val="24"/>
                <w:szCs w:val="24"/>
                <w:lang w:eastAsia="zh-CN" w:bidi="ar"/>
              </w:rPr>
              <w:t>体系</w:t>
            </w:r>
            <w:r>
              <w:rPr>
                <w:rFonts w:hint="default" w:ascii="Times New Roman" w:hAnsi="Times New Roman" w:eastAsia="仿宋_GB2312" w:cs="Times New Roman"/>
                <w:color w:val="000000"/>
                <w:kern w:val="0"/>
                <w:sz w:val="24"/>
                <w:szCs w:val="24"/>
                <w:lang w:bidi="ar"/>
              </w:rPr>
              <w:t>管理需要。</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2.行政村卫生站实现一体化管理全覆盖。</w:t>
            </w:r>
          </w:p>
        </w:tc>
      </w:tr>
      <w:tr>
        <w:tblPrEx>
          <w:tblLayout w:type="fixed"/>
          <w:tblCellMar>
            <w:top w:w="15" w:type="dxa"/>
            <w:left w:w="15" w:type="dxa"/>
            <w:bottom w:w="15" w:type="dxa"/>
            <w:right w:w="15" w:type="dxa"/>
          </w:tblCellMar>
        </w:tblPrEx>
        <w:trPr>
          <w:trHeight w:val="9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2.2人员统一管理</w:t>
            </w:r>
            <w:r>
              <w:rPr>
                <w:rFonts w:hint="default" w:ascii="Times New Roman" w:hAnsi="Times New Roman" w:eastAsia="仿宋_GB2312" w:cs="Times New Roman"/>
                <w:color w:val="000000"/>
                <w:kern w:val="0"/>
                <w:sz w:val="24"/>
                <w:szCs w:val="24"/>
              </w:rPr>
              <w:t>★</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1.总医院设置专职人力资源管理部门，职责明确。</w:t>
            </w:r>
          </w:p>
        </w:tc>
      </w:tr>
      <w:tr>
        <w:tblPrEx>
          <w:tblLayout w:type="fixed"/>
          <w:tblCellMar>
            <w:top w:w="15" w:type="dxa"/>
            <w:left w:w="15" w:type="dxa"/>
            <w:bottom w:w="15" w:type="dxa"/>
            <w:right w:w="15" w:type="dxa"/>
          </w:tblCellMar>
        </w:tblPrEx>
        <w:trPr>
          <w:trHeight w:val="52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2.有人事统一管理制度与程序，有</w:t>
            </w:r>
            <w:r>
              <w:rPr>
                <w:rFonts w:hint="default" w:ascii="Times New Roman" w:hAnsi="Times New Roman" w:eastAsia="仿宋_GB2312" w:cs="Times New Roman"/>
                <w:color w:val="000000"/>
                <w:kern w:val="0"/>
                <w:sz w:val="24"/>
                <w:szCs w:val="24"/>
                <w:lang w:eastAsia="zh-CN" w:bidi="ar"/>
              </w:rPr>
              <w:t>县域医共体</w:t>
            </w:r>
            <w:r>
              <w:rPr>
                <w:rFonts w:hint="default" w:ascii="Times New Roman" w:hAnsi="Times New Roman" w:eastAsia="仿宋_GB2312" w:cs="Times New Roman"/>
                <w:color w:val="000000"/>
                <w:kern w:val="0"/>
                <w:sz w:val="24"/>
                <w:szCs w:val="24"/>
                <w:lang w:bidi="ar"/>
              </w:rPr>
              <w:t>人才规划总体方案，实现人员统一管理。</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3.建立健全全员聘用制度和岗位管理制度。</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【B】符合“C”，并</w:t>
            </w:r>
          </w:p>
        </w:tc>
      </w:tr>
      <w:tr>
        <w:tblPrEx>
          <w:tblLayout w:type="fixed"/>
          <w:tblCellMar>
            <w:top w:w="15" w:type="dxa"/>
            <w:left w:w="15" w:type="dxa"/>
            <w:bottom w:w="15" w:type="dxa"/>
            <w:right w:w="15" w:type="dxa"/>
          </w:tblCellMar>
        </w:tblPrEx>
        <w:trPr>
          <w:trHeight w:val="567"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1.县域医共体</w:t>
            </w:r>
            <w:r>
              <w:rPr>
                <w:rFonts w:hint="default" w:ascii="Times New Roman" w:hAnsi="Times New Roman" w:eastAsia="仿宋_GB2312" w:cs="Times New Roman"/>
                <w:color w:val="000000"/>
                <w:kern w:val="0"/>
                <w:sz w:val="24"/>
                <w:szCs w:val="24"/>
                <w:lang w:eastAsia="zh-CN" w:bidi="ar"/>
              </w:rPr>
              <w:t>实现对</w:t>
            </w:r>
            <w:r>
              <w:rPr>
                <w:rFonts w:hint="default" w:ascii="Times New Roman" w:hAnsi="Times New Roman" w:eastAsia="仿宋_GB2312" w:cs="Times New Roman"/>
                <w:color w:val="000000"/>
                <w:kern w:val="0"/>
                <w:sz w:val="24"/>
                <w:szCs w:val="24"/>
                <w:lang w:bidi="ar"/>
              </w:rPr>
              <w:t>成员单位人事管理、绩效考核、收入分配</w:t>
            </w:r>
            <w:r>
              <w:rPr>
                <w:rFonts w:hint="default" w:ascii="Times New Roman" w:hAnsi="Times New Roman" w:eastAsia="仿宋_GB2312" w:cs="Times New Roman"/>
                <w:color w:val="000000"/>
                <w:kern w:val="0"/>
                <w:sz w:val="24"/>
                <w:szCs w:val="24"/>
                <w:lang w:eastAsia="zh-CN" w:bidi="ar"/>
              </w:rPr>
              <w:t>，拥有</w:t>
            </w:r>
            <w:r>
              <w:rPr>
                <w:rFonts w:hint="default" w:ascii="Times New Roman" w:hAnsi="Times New Roman" w:eastAsia="仿宋_GB2312" w:cs="Times New Roman"/>
                <w:color w:val="000000"/>
                <w:kern w:val="0"/>
                <w:sz w:val="24"/>
                <w:szCs w:val="24"/>
                <w:lang w:bidi="ar"/>
              </w:rPr>
              <w:t>自主权。</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9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1.县域医共体内县级医疗卫生机构和基层医疗卫生机构的编制分别核定，由县域医共体统筹使用。县域医共体全体人员统一招聘、调配、培训、管理，建立人才柔性流动机制。</w:t>
            </w:r>
          </w:p>
        </w:tc>
      </w:tr>
      <w:tr>
        <w:tblPrEx>
          <w:tblLayout w:type="fixed"/>
          <w:tblCellMar>
            <w:top w:w="15" w:type="dxa"/>
            <w:left w:w="15" w:type="dxa"/>
            <w:bottom w:w="15" w:type="dxa"/>
            <w:right w:w="15" w:type="dxa"/>
          </w:tblCellMar>
        </w:tblPrEx>
        <w:trPr>
          <w:trHeight w:val="234"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2.3财务统一管理★</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33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1.总医院设置专职财务管理部门，职责分工明确。</w:t>
            </w:r>
          </w:p>
        </w:tc>
      </w:tr>
      <w:tr>
        <w:tblPrEx>
          <w:tblLayout w:type="fixed"/>
          <w:tblCellMar>
            <w:top w:w="15" w:type="dxa"/>
            <w:left w:w="15" w:type="dxa"/>
            <w:bottom w:w="15" w:type="dxa"/>
            <w:right w:w="15" w:type="dxa"/>
          </w:tblCellMar>
        </w:tblPrEx>
        <w:trPr>
          <w:trHeight w:val="49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2.县域医共体内各成员单位财务实行单独设账、独立核算。执行政府财务、会计制度。</w:t>
            </w:r>
          </w:p>
        </w:tc>
      </w:tr>
      <w:tr>
        <w:tblPrEx>
          <w:tblLayout w:type="fixed"/>
          <w:tblCellMar>
            <w:top w:w="15" w:type="dxa"/>
            <w:left w:w="15" w:type="dxa"/>
            <w:bottom w:w="15" w:type="dxa"/>
            <w:right w:w="15" w:type="dxa"/>
          </w:tblCellMar>
        </w:tblPrEx>
        <w:trPr>
          <w:trHeight w:val="62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3.县域医共体内建立有统一的内部控制制度、内部审计制度、财务制度和统一的人员、物资和资金流动程序、操作流程、核算方案。</w:t>
            </w:r>
          </w:p>
        </w:tc>
      </w:tr>
      <w:tr>
        <w:tblPrEx>
          <w:tblLayout w:type="fixed"/>
          <w:tblCellMar>
            <w:top w:w="15" w:type="dxa"/>
            <w:left w:w="15" w:type="dxa"/>
            <w:bottom w:w="15" w:type="dxa"/>
            <w:right w:w="15" w:type="dxa"/>
          </w:tblCellMar>
        </w:tblPrEx>
        <w:trPr>
          <w:trHeight w:val="519"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4.有统一的预（决）算和月（季／年）度财务报告格式和医共体内部人、财、物流转结算格式。</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【B】符合“C”，并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1.相关人员对本部门、本岗位的履职要求知晓率≥80%。</w:t>
            </w:r>
          </w:p>
        </w:tc>
      </w:tr>
      <w:tr>
        <w:tblPrEx>
          <w:tblLayout w:type="fixed"/>
          <w:tblCellMar>
            <w:top w:w="15" w:type="dxa"/>
            <w:left w:w="15" w:type="dxa"/>
            <w:bottom w:w="15" w:type="dxa"/>
            <w:right w:w="15" w:type="dxa"/>
          </w:tblCellMar>
        </w:tblPrEx>
        <w:trPr>
          <w:trHeight w:val="47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2.定期开展财务管理制度的培训与教育，</w:t>
            </w:r>
            <w:r>
              <w:rPr>
                <w:rFonts w:hint="default" w:ascii="Times New Roman" w:hAnsi="Times New Roman" w:eastAsia="仿宋_GB2312" w:cs="Times New Roman"/>
                <w:color w:val="000000"/>
                <w:kern w:val="0"/>
                <w:sz w:val="24"/>
                <w:szCs w:val="24"/>
                <w:lang w:eastAsia="zh-CN" w:bidi="ar"/>
              </w:rPr>
              <w:t>加强各成员单位成本控制培训，</w:t>
            </w:r>
            <w:r>
              <w:rPr>
                <w:rFonts w:hint="default" w:ascii="Times New Roman" w:hAnsi="Times New Roman" w:eastAsia="仿宋_GB2312" w:cs="Times New Roman"/>
                <w:color w:val="000000"/>
                <w:kern w:val="0"/>
                <w:sz w:val="24"/>
                <w:szCs w:val="24"/>
                <w:lang w:bidi="ar"/>
              </w:rPr>
              <w:t>对更新后财务管理制度有培训的记录。</w:t>
            </w:r>
          </w:p>
        </w:tc>
      </w:tr>
      <w:tr>
        <w:tblPrEx>
          <w:tblLayout w:type="fixed"/>
          <w:tblCellMar>
            <w:top w:w="15" w:type="dxa"/>
            <w:left w:w="15" w:type="dxa"/>
            <w:bottom w:w="15" w:type="dxa"/>
            <w:right w:w="15" w:type="dxa"/>
          </w:tblCellMar>
        </w:tblPrEx>
        <w:trPr>
          <w:trHeight w:val="494"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3.总医院、分院按财务制度规定编制年度财务预算和财务决算报表，中期编制预算执行报表。</w:t>
            </w:r>
          </w:p>
        </w:tc>
      </w:tr>
      <w:tr>
        <w:tblPrEx>
          <w:tblLayout w:type="fixed"/>
          <w:tblCellMar>
            <w:top w:w="15" w:type="dxa"/>
            <w:left w:w="15" w:type="dxa"/>
            <w:bottom w:w="15" w:type="dxa"/>
            <w:right w:w="15" w:type="dxa"/>
          </w:tblCellMar>
        </w:tblPrEx>
        <w:trPr>
          <w:trHeight w:val="52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4.县域医共体内部控制制度、审计制度、财务管理制度根据政策法规变动情况及时更新。</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65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1.定期（不定期）开展内部审计，实行事前、事中、事后监督相结合，日常监督与专项检查相结合。</w:t>
            </w:r>
          </w:p>
        </w:tc>
      </w:tr>
      <w:tr>
        <w:tblPrEx>
          <w:tblLayout w:type="fixed"/>
          <w:tblCellMar>
            <w:top w:w="15" w:type="dxa"/>
            <w:left w:w="15" w:type="dxa"/>
            <w:bottom w:w="15" w:type="dxa"/>
            <w:right w:w="15" w:type="dxa"/>
          </w:tblCellMar>
        </w:tblPrEx>
        <w:trPr>
          <w:trHeight w:val="648"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2.有月（季、年)度财务分析报告和预算执行情况分析报告，及时分析经济运行中财经法规执行情况、存在问题，提出改进意见。</w:t>
            </w:r>
          </w:p>
        </w:tc>
      </w:tr>
      <w:tr>
        <w:tblPrEx>
          <w:tblLayout w:type="fixed"/>
          <w:tblCellMar>
            <w:top w:w="15" w:type="dxa"/>
            <w:left w:w="15" w:type="dxa"/>
            <w:bottom w:w="15" w:type="dxa"/>
            <w:right w:w="15" w:type="dxa"/>
          </w:tblCellMar>
        </w:tblPrEx>
        <w:trPr>
          <w:trHeight w:val="477"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2.4质量统一管理</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sz w:val="24"/>
                <w:szCs w:val="24"/>
              </w:rPr>
            </w:pPr>
          </w:p>
        </w:tc>
      </w:tr>
      <w:tr>
        <w:tblPrEx>
          <w:tblLayout w:type="fixed"/>
          <w:tblCellMar>
            <w:top w:w="15" w:type="dxa"/>
            <w:left w:w="15" w:type="dxa"/>
            <w:bottom w:w="15" w:type="dxa"/>
            <w:right w:w="15" w:type="dxa"/>
          </w:tblCellMar>
        </w:tblPrEx>
        <w:trPr>
          <w:trHeight w:val="293"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2.4.1统一质量管理部门及组织★</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1.总医院设置专职医疗质量管理部门及建立统一质量管理组织。</w:t>
            </w:r>
          </w:p>
        </w:tc>
      </w:tr>
      <w:tr>
        <w:tblPrEx>
          <w:tblLayout w:type="fixed"/>
          <w:tblCellMar>
            <w:top w:w="15" w:type="dxa"/>
            <w:left w:w="15" w:type="dxa"/>
            <w:bottom w:w="15" w:type="dxa"/>
            <w:right w:w="15" w:type="dxa"/>
          </w:tblCellMar>
        </w:tblPrEx>
        <w:trPr>
          <w:trHeight w:val="9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2.有质量管理组织架构图，能清楚反映县域医共体质量管理组织结构，体现总院长是第一责任人。</w:t>
            </w:r>
          </w:p>
        </w:tc>
      </w:tr>
      <w:tr>
        <w:tblPrEx>
          <w:tblLayout w:type="fixed"/>
          <w:tblCellMar>
            <w:top w:w="15" w:type="dxa"/>
            <w:left w:w="15" w:type="dxa"/>
            <w:bottom w:w="15" w:type="dxa"/>
            <w:right w:w="15" w:type="dxa"/>
          </w:tblCellMar>
        </w:tblPrEx>
        <w:trPr>
          <w:trHeight w:val="59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3.医疗质量管理部门涵盖（医务、护理、院感、科教、防保、质控、病案等职责）。</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4.总医院负责确定各职能部门的质量与安全管理职责。</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【B】符合“C”，并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1.职能部门能有效运行，实现医疗质量统一化管理。</w:t>
            </w:r>
          </w:p>
        </w:tc>
      </w:tr>
      <w:tr>
        <w:tblPrEx>
          <w:tblLayout w:type="fixed"/>
          <w:tblCellMar>
            <w:top w:w="15" w:type="dxa"/>
            <w:left w:w="15" w:type="dxa"/>
            <w:bottom w:w="15" w:type="dxa"/>
            <w:right w:w="15" w:type="dxa"/>
          </w:tblCellMar>
        </w:tblPrEx>
        <w:trPr>
          <w:trHeight w:val="51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2.总医院领导从人力资源、财力、管理技能培训方面对各相关委员会开展质量与安全管理活动提供支持。</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1.总医院领导按分工对落实改进的意见的成效给予评价。</w:t>
            </w:r>
          </w:p>
        </w:tc>
      </w:tr>
      <w:tr>
        <w:tblPrEx>
          <w:tblLayout w:type="fixed"/>
          <w:tblCellMar>
            <w:top w:w="15" w:type="dxa"/>
            <w:left w:w="15" w:type="dxa"/>
            <w:bottom w:w="15" w:type="dxa"/>
            <w:right w:w="15" w:type="dxa"/>
          </w:tblCellMar>
        </w:tblPrEx>
        <w:trPr>
          <w:trHeight w:val="477"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2.职能部门定期</w:t>
            </w:r>
            <w:r>
              <w:rPr>
                <w:rFonts w:hint="default" w:ascii="Times New Roman" w:hAnsi="Times New Roman" w:eastAsia="仿宋_GB2312" w:cs="Times New Roman"/>
                <w:color w:val="000000"/>
                <w:kern w:val="0"/>
                <w:sz w:val="24"/>
                <w:szCs w:val="24"/>
                <w:lang w:eastAsia="zh-CN" w:bidi="ar"/>
              </w:rPr>
              <w:t>对各成员单位全面</w:t>
            </w:r>
            <w:r>
              <w:rPr>
                <w:rFonts w:hint="default" w:ascii="Times New Roman" w:hAnsi="Times New Roman" w:eastAsia="仿宋_GB2312" w:cs="Times New Roman"/>
                <w:color w:val="000000"/>
                <w:kern w:val="0"/>
                <w:sz w:val="24"/>
                <w:szCs w:val="24"/>
                <w:lang w:bidi="ar"/>
              </w:rPr>
              <w:t>开展质量督查、评价以及持续改进工作。</w:t>
            </w:r>
          </w:p>
        </w:tc>
      </w:tr>
      <w:tr>
        <w:tblPrEx>
          <w:tblLayout w:type="fixed"/>
          <w:tblCellMar>
            <w:top w:w="15" w:type="dxa"/>
            <w:left w:w="15" w:type="dxa"/>
            <w:bottom w:w="15" w:type="dxa"/>
            <w:right w:w="15" w:type="dxa"/>
          </w:tblCellMar>
        </w:tblPrEx>
        <w:trPr>
          <w:trHeight w:val="28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2.4.2质量与安全控制</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53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1.根据《广东省紧密型县域医疗卫生共同体医疗质量统一管理指南》，建立健全医疗质量统一管理制度。</w:t>
            </w:r>
          </w:p>
        </w:tc>
      </w:tr>
      <w:tr>
        <w:tblPrEx>
          <w:tblLayout w:type="fixed"/>
          <w:tblCellMar>
            <w:top w:w="15" w:type="dxa"/>
            <w:left w:w="15" w:type="dxa"/>
            <w:bottom w:w="15" w:type="dxa"/>
            <w:right w:w="15" w:type="dxa"/>
          </w:tblCellMar>
        </w:tblPrEx>
        <w:trPr>
          <w:trHeight w:val="52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2.总医院负责制定县域医共体内《医疗质量与医疗安全管理和持续改进方案》，确定总院、分院、各科室/部门的质量与安全指标。</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【B】符合“C”，并</w:t>
            </w:r>
          </w:p>
        </w:tc>
      </w:tr>
      <w:tr>
        <w:tblPrEx>
          <w:tblLayout w:type="fixed"/>
          <w:tblCellMar>
            <w:top w:w="15" w:type="dxa"/>
            <w:left w:w="15" w:type="dxa"/>
            <w:bottom w:w="15" w:type="dxa"/>
            <w:right w:w="15" w:type="dxa"/>
          </w:tblCellMar>
        </w:tblPrEx>
        <w:trPr>
          <w:trHeight w:val="96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1.总医院领导分工负责监督各职能部门、基层医疗机构、各临床科室实施《医疗质量与医疗安全管理和持续改进方案》，并能从制度与程序提供必要的保障，有改进意见。</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2.县域医共体建立健全院科两级医疗质量控制体系。</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63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1.成员单位对方案执行、制度落实、考核结果等内容有分析、总结、反馈及改进措施。</w:t>
            </w:r>
          </w:p>
        </w:tc>
      </w:tr>
      <w:tr>
        <w:tblPrEx>
          <w:tblLayout w:type="fixed"/>
          <w:tblCellMar>
            <w:top w:w="15" w:type="dxa"/>
            <w:left w:w="15" w:type="dxa"/>
            <w:bottom w:w="15" w:type="dxa"/>
            <w:right w:w="15" w:type="dxa"/>
          </w:tblCellMar>
        </w:tblPrEx>
        <w:trPr>
          <w:trHeight w:val="16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r>
              <w:rPr>
                <w:rFonts w:hint="default" w:ascii="Times New Roman" w:hAnsi="Times New Roman" w:eastAsia="仿宋_GB2312" w:cs="Times New Roman"/>
                <w:color w:val="000000"/>
                <w:kern w:val="0"/>
                <w:sz w:val="24"/>
                <w:szCs w:val="24"/>
                <w:lang w:eastAsia="zh-CN" w:bidi="ar"/>
              </w:rPr>
              <w:t>能</w:t>
            </w:r>
            <w:r>
              <w:rPr>
                <w:rFonts w:hint="default" w:ascii="Times New Roman" w:hAnsi="Times New Roman" w:eastAsia="仿宋_GB2312" w:cs="Times New Roman"/>
                <w:color w:val="000000"/>
                <w:kern w:val="0"/>
                <w:sz w:val="24"/>
                <w:szCs w:val="24"/>
                <w:lang w:bidi="ar"/>
              </w:rPr>
              <w:t>用监管结果或</w:t>
            </w:r>
            <w:r>
              <w:rPr>
                <w:rFonts w:hint="default" w:ascii="Times New Roman" w:hAnsi="Times New Roman" w:eastAsia="仿宋_GB2312" w:cs="Times New Roman"/>
                <w:color w:val="000000"/>
                <w:kern w:val="0"/>
                <w:sz w:val="24"/>
                <w:szCs w:val="24"/>
                <w:lang w:eastAsia="zh-CN" w:bidi="ar"/>
              </w:rPr>
              <w:t>质量控制的</w:t>
            </w:r>
            <w:r>
              <w:rPr>
                <w:rFonts w:hint="default" w:ascii="Times New Roman" w:hAnsi="Times New Roman" w:eastAsia="仿宋_GB2312" w:cs="Times New Roman"/>
                <w:color w:val="000000"/>
                <w:kern w:val="0"/>
                <w:sz w:val="24"/>
                <w:szCs w:val="24"/>
                <w:lang w:bidi="ar"/>
              </w:rPr>
              <w:t>数据来表达改进的成效。</w:t>
            </w:r>
          </w:p>
        </w:tc>
      </w:tr>
      <w:tr>
        <w:tblPrEx>
          <w:tblLayout w:type="fixed"/>
          <w:tblCellMar>
            <w:top w:w="15" w:type="dxa"/>
            <w:left w:w="15" w:type="dxa"/>
            <w:bottom w:w="15" w:type="dxa"/>
            <w:right w:w="15" w:type="dxa"/>
          </w:tblCellMar>
        </w:tblPrEx>
        <w:trPr>
          <w:trHeight w:val="353"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2.4.3同质化管理</w:t>
            </w:r>
            <w:r>
              <w:rPr>
                <w:rFonts w:hint="default" w:ascii="Times New Roman" w:hAnsi="Times New Roman" w:eastAsia="仿宋_GB2312" w:cs="Times New Roman"/>
                <w:color w:val="000000"/>
                <w:kern w:val="0"/>
                <w:sz w:val="24"/>
                <w:szCs w:val="24"/>
              </w:rPr>
              <w:t>★</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1.县域医共体内有医疗质量同质化管理的制度。</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2.安排医疗质量管理人员巡查、定期指导。</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3.安排临床医疗专家团队开展驻点帮扶，有开展会诊、出诊、手术。</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【B】符合“C”，并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1.县域医共体内医疗信息资源共享，检验、检查结果互认。</w:t>
            </w:r>
          </w:p>
        </w:tc>
      </w:tr>
      <w:tr>
        <w:tblPrEx>
          <w:tblLayout w:type="fixed"/>
          <w:tblCellMar>
            <w:top w:w="15" w:type="dxa"/>
            <w:left w:w="15" w:type="dxa"/>
            <w:bottom w:w="15" w:type="dxa"/>
            <w:right w:w="15" w:type="dxa"/>
          </w:tblCellMar>
        </w:tblPrEx>
        <w:trPr>
          <w:trHeight w:val="683"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2.县域医共体内医疗质量同质化考核，总医院将分院医疗质量考核</w:t>
            </w:r>
            <w:r>
              <w:rPr>
                <w:rFonts w:hint="default" w:ascii="Times New Roman" w:hAnsi="Times New Roman" w:eastAsia="仿宋_GB2312" w:cs="Times New Roman"/>
                <w:color w:val="000000"/>
                <w:kern w:val="0"/>
                <w:sz w:val="24"/>
                <w:szCs w:val="24"/>
                <w:lang w:eastAsia="zh-CN" w:bidi="ar"/>
              </w:rPr>
              <w:t>统一进行</w:t>
            </w:r>
            <w:r>
              <w:rPr>
                <w:rFonts w:hint="default" w:ascii="Times New Roman" w:hAnsi="Times New Roman" w:eastAsia="仿宋_GB2312" w:cs="Times New Roman"/>
                <w:color w:val="000000"/>
                <w:kern w:val="0"/>
                <w:sz w:val="24"/>
                <w:szCs w:val="24"/>
                <w:lang w:bidi="ar"/>
              </w:rPr>
              <w:t>。</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60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1.总医院与分院构建完善系统化、规范化的院、科两级医疗质量控制体系，指导分院使用质量管理工具，加强落实医疗质量持续改进。</w:t>
            </w:r>
          </w:p>
        </w:tc>
      </w:tr>
      <w:tr>
        <w:tblPrEx>
          <w:tblLayout w:type="fixed"/>
          <w:tblCellMar>
            <w:top w:w="15" w:type="dxa"/>
            <w:left w:w="15" w:type="dxa"/>
            <w:bottom w:w="15" w:type="dxa"/>
            <w:right w:w="15" w:type="dxa"/>
          </w:tblCellMar>
        </w:tblPrEx>
        <w:trPr>
          <w:trHeight w:val="23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2.4.4规范临床诊疗</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559"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1.开展临床路径及单病种质量管理作为推动医疗质量持续改进的重点项目、规范临床诊疗行为的重要内容之一。</w:t>
            </w:r>
          </w:p>
        </w:tc>
      </w:tr>
      <w:tr>
        <w:tblPrEx>
          <w:tblLayout w:type="fixed"/>
          <w:tblCellMar>
            <w:top w:w="15" w:type="dxa"/>
            <w:left w:w="15" w:type="dxa"/>
            <w:bottom w:w="15" w:type="dxa"/>
            <w:right w:w="15" w:type="dxa"/>
          </w:tblCellMar>
        </w:tblPrEx>
        <w:trPr>
          <w:trHeight w:val="53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2.根据实际情况选择进入临床路径病种目录和文本，制定单病种管理要求和措施。</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3.建立有临床路径及单病种质量控制指标的监测。</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4.按照分院服务病种情况统一制定处方集。</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【B】符合“C”，并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1.科室对临床路径及单病种有管理和对存在的问题有整改。</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2.职能部门有监管，每季度对监测指标进行汇总与分析，问题及时反馈。</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3.定期统一开展处方、病历点评，有监管与分析。</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60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1.临床路径实施病种数量和总数量及单病种管理达到卫生行政主管部门要求，实行信息化管理。</w:t>
            </w:r>
          </w:p>
        </w:tc>
      </w:tr>
      <w:tr>
        <w:tblPrEx>
          <w:tblLayout w:type="fixed"/>
          <w:tblCellMar>
            <w:top w:w="15" w:type="dxa"/>
            <w:left w:w="15" w:type="dxa"/>
            <w:bottom w:w="15" w:type="dxa"/>
            <w:right w:w="15" w:type="dxa"/>
          </w:tblCellMar>
        </w:tblPrEx>
        <w:trPr>
          <w:trHeight w:val="522"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2.5药械统一管理</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rPr>
                <w:rFonts w:hint="default" w:ascii="Times New Roman" w:hAnsi="Times New Roman" w:eastAsia="仿宋_GB2312" w:cs="Times New Roman"/>
                <w:color w:val="000000"/>
                <w:sz w:val="24"/>
                <w:szCs w:val="24"/>
              </w:rPr>
            </w:pPr>
          </w:p>
        </w:tc>
      </w:tr>
      <w:tr>
        <w:tblPrEx>
          <w:tblLayout w:type="fixed"/>
          <w:tblCellMar>
            <w:top w:w="15" w:type="dxa"/>
            <w:left w:w="15" w:type="dxa"/>
            <w:bottom w:w="15" w:type="dxa"/>
            <w:right w:w="15" w:type="dxa"/>
          </w:tblCellMar>
        </w:tblPrEx>
        <w:trPr>
          <w:trHeight w:val="40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2.5.1药械统一管理部门及组织★</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1.总医院设置专职药械管理部门，职责明确。</w:t>
            </w:r>
          </w:p>
        </w:tc>
      </w:tr>
      <w:tr>
        <w:tblPrEx>
          <w:tblLayout w:type="fixed"/>
          <w:tblCellMar>
            <w:top w:w="15" w:type="dxa"/>
            <w:left w:w="15" w:type="dxa"/>
            <w:bottom w:w="15" w:type="dxa"/>
            <w:right w:w="15" w:type="dxa"/>
          </w:tblCellMar>
        </w:tblPrEx>
        <w:trPr>
          <w:trHeight w:val="717"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2.建立健全药械管理制度和岗位管理制度</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_GB2312" w:cs="Times New Roman"/>
                <w:color w:val="000000"/>
                <w:kern w:val="0"/>
                <w:sz w:val="24"/>
                <w:szCs w:val="24"/>
                <w:lang w:bidi="ar"/>
              </w:rPr>
              <w:t>有县域医共体药械统一管理组织及架构图，能清楚反映药械管理组织结构，体现总院长是第一责任人。</w:t>
            </w:r>
          </w:p>
        </w:tc>
      </w:tr>
      <w:tr>
        <w:tblPrEx>
          <w:tblLayout w:type="fixed"/>
          <w:tblCellMar>
            <w:top w:w="15" w:type="dxa"/>
            <w:left w:w="15" w:type="dxa"/>
            <w:bottom w:w="15" w:type="dxa"/>
            <w:right w:w="15" w:type="dxa"/>
          </w:tblCellMar>
        </w:tblPrEx>
        <w:trPr>
          <w:trHeight w:val="62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val="en-US" w:eastAsia="zh-CN" w:bidi="ar"/>
              </w:rPr>
              <w:t>3</w:t>
            </w:r>
            <w:r>
              <w:rPr>
                <w:rFonts w:hint="default" w:ascii="Times New Roman" w:hAnsi="Times New Roman" w:eastAsia="仿宋_GB2312" w:cs="Times New Roman"/>
                <w:color w:val="000000"/>
                <w:kern w:val="0"/>
                <w:sz w:val="24"/>
                <w:szCs w:val="24"/>
                <w:lang w:bidi="ar"/>
              </w:rPr>
              <w:t>.根据《广东省紧密型县域医疗卫生共同体药械统一管理指南》，建立健全药械统一管理相关制度。</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【B】符合“C”，并</w:t>
            </w:r>
          </w:p>
        </w:tc>
      </w:tr>
      <w:tr>
        <w:tblPrEx>
          <w:tblLayout w:type="fixed"/>
          <w:tblCellMar>
            <w:top w:w="15" w:type="dxa"/>
            <w:left w:w="15" w:type="dxa"/>
            <w:bottom w:w="15" w:type="dxa"/>
            <w:right w:w="15" w:type="dxa"/>
          </w:tblCellMar>
        </w:tblPrEx>
        <w:trPr>
          <w:trHeight w:val="923"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1.总医院领导分工负责监督各职能部门、基层医疗机构实施药物、器械、耗材的目标管理与要求，并能从制度与程序提供必要的保障，有改进意见。</w:t>
            </w:r>
          </w:p>
        </w:tc>
      </w:tr>
      <w:tr>
        <w:tblPrEx>
          <w:tblLayout w:type="fixed"/>
          <w:tblCellMar>
            <w:top w:w="15" w:type="dxa"/>
            <w:left w:w="15" w:type="dxa"/>
            <w:bottom w:w="15" w:type="dxa"/>
            <w:right w:w="15" w:type="dxa"/>
          </w:tblCellMar>
        </w:tblPrEx>
        <w:trPr>
          <w:trHeight w:val="37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2.定期开展药械督查、评价以及持续改进工作。</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1.县域医共体设立唯一药械采购账户，统一用药目录，优先配备基本药物，实行药械统一采购和配送、药款统一支付。药品耗材在医共体内统筹使用，成员单位间采取内部支付方式实现内部购买。</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val="en-US" w:eastAsia="zh-CN" w:bidi="ar"/>
              </w:rPr>
              <w:t>2</w:t>
            </w:r>
            <w:r>
              <w:rPr>
                <w:rFonts w:hint="default" w:ascii="Times New Roman" w:hAnsi="Times New Roman" w:eastAsia="仿宋_GB2312" w:cs="Times New Roman"/>
                <w:color w:val="000000"/>
                <w:kern w:val="0"/>
                <w:sz w:val="24"/>
                <w:szCs w:val="24"/>
                <w:lang w:bidi="ar"/>
              </w:rPr>
              <w:t>.</w:t>
            </w:r>
            <w:r>
              <w:rPr>
                <w:rFonts w:hint="default" w:ascii="Times New Roman" w:hAnsi="Times New Roman" w:eastAsia="仿宋_GB2312" w:cs="Times New Roman"/>
                <w:color w:val="000000"/>
                <w:kern w:val="0"/>
                <w:sz w:val="24"/>
                <w:szCs w:val="24"/>
                <w:lang w:eastAsia="zh-CN" w:bidi="ar"/>
              </w:rPr>
              <w:t>医共体内</w:t>
            </w:r>
            <w:r>
              <w:rPr>
                <w:rFonts w:hint="default" w:ascii="Times New Roman" w:hAnsi="Times New Roman" w:eastAsia="仿宋_GB2312" w:cs="Times New Roman"/>
                <w:color w:val="000000"/>
                <w:kern w:val="0"/>
                <w:sz w:val="24"/>
                <w:szCs w:val="24"/>
                <w:lang w:bidi="ar"/>
              </w:rPr>
              <w:t>医疗机构用药</w:t>
            </w:r>
            <w:r>
              <w:rPr>
                <w:rFonts w:hint="default" w:ascii="Times New Roman" w:hAnsi="Times New Roman" w:eastAsia="仿宋_GB2312" w:cs="Times New Roman"/>
                <w:color w:val="000000"/>
                <w:kern w:val="0"/>
                <w:sz w:val="24"/>
                <w:szCs w:val="24"/>
                <w:lang w:eastAsia="zh-CN" w:bidi="ar"/>
              </w:rPr>
              <w:t>衔接，保证农村群众用药品规品种有保障</w:t>
            </w:r>
            <w:r>
              <w:rPr>
                <w:rFonts w:hint="default" w:ascii="Times New Roman" w:hAnsi="Times New Roman" w:eastAsia="仿宋_GB2312" w:cs="Times New Roman"/>
                <w:color w:val="000000"/>
                <w:kern w:val="0"/>
                <w:sz w:val="24"/>
                <w:szCs w:val="24"/>
                <w:lang w:bidi="ar"/>
              </w:rPr>
              <w:t>。</w:t>
            </w:r>
          </w:p>
        </w:tc>
      </w:tr>
      <w:tr>
        <w:tblPrEx>
          <w:tblLayout w:type="fixed"/>
          <w:tblCellMar>
            <w:top w:w="15" w:type="dxa"/>
            <w:left w:w="15" w:type="dxa"/>
            <w:bottom w:w="15" w:type="dxa"/>
            <w:right w:w="15" w:type="dxa"/>
          </w:tblCellMar>
        </w:tblPrEx>
        <w:trPr>
          <w:trHeight w:val="36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2.5.2药品耗材评价</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408"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1.基本药物使用占比：基层医疗卫生机构使用品规数占比≥60%，使用金额占比≥50%，二级医疗机构使用品规数占比≥50%，使用金额占比≥40%。</w:t>
            </w:r>
          </w:p>
        </w:tc>
      </w:tr>
      <w:tr>
        <w:tblPrEx>
          <w:tblLayout w:type="fixed"/>
          <w:tblCellMar>
            <w:top w:w="15" w:type="dxa"/>
            <w:left w:w="15" w:type="dxa"/>
            <w:bottom w:w="15" w:type="dxa"/>
            <w:right w:w="15" w:type="dxa"/>
          </w:tblCellMar>
        </w:tblPrEx>
        <w:trPr>
          <w:trHeight w:val="49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2.二级医疗机构药占比≤30%。</w:t>
            </w:r>
          </w:p>
        </w:tc>
      </w:tr>
      <w:tr>
        <w:tblPrEx>
          <w:tblLayout w:type="fixed"/>
          <w:tblCellMar>
            <w:top w:w="15" w:type="dxa"/>
            <w:left w:w="15" w:type="dxa"/>
            <w:bottom w:w="15" w:type="dxa"/>
            <w:right w:w="15" w:type="dxa"/>
          </w:tblCellMar>
        </w:tblPrEx>
        <w:trPr>
          <w:trHeight w:val="64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3.抗菌药物使用率：住院患者抗菌药物使用率≤40%，门诊抗菌药物使用率≤9%。</w:t>
            </w:r>
          </w:p>
        </w:tc>
      </w:tr>
      <w:tr>
        <w:tblPrEx>
          <w:tblLayout w:type="fixed"/>
          <w:tblCellMar>
            <w:top w:w="15" w:type="dxa"/>
            <w:left w:w="15" w:type="dxa"/>
            <w:bottom w:w="15" w:type="dxa"/>
            <w:right w:w="15" w:type="dxa"/>
          </w:tblCellMar>
        </w:tblPrEx>
        <w:trPr>
          <w:trHeight w:val="61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4.二级医疗机构百元医疗收入（不含药品收入）中消耗的卫生材料费较上一年有下降。</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【Ｂ】符合“Ｃ”，并</w:t>
            </w:r>
          </w:p>
        </w:tc>
      </w:tr>
      <w:tr>
        <w:tblPrEx>
          <w:tblLayout w:type="fixed"/>
          <w:tblCellMar>
            <w:top w:w="15" w:type="dxa"/>
            <w:left w:w="15" w:type="dxa"/>
            <w:bottom w:w="15" w:type="dxa"/>
            <w:right w:w="15" w:type="dxa"/>
          </w:tblCellMar>
        </w:tblPrEx>
        <w:trPr>
          <w:trHeight w:val="637"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1.基本药物使用占比：基层医疗卫生机构使用占比及二级医疗机构使用占比较上一年提升。</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2.二级医疗机构药占比较上一年下降。</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3.总医院及半数以上分院抗菌药物使用率较上一年下降。</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4.二级医疗机构百元医疗收入（不含药品收入）中消耗的卫生材料费≤20元。</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1.上述指标持续改进</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_GB2312" w:cs="Times New Roman"/>
                <w:color w:val="000000"/>
                <w:kern w:val="0"/>
                <w:sz w:val="24"/>
                <w:szCs w:val="24"/>
                <w:lang w:bidi="ar"/>
              </w:rPr>
              <w:t>有成效。</w:t>
            </w:r>
          </w:p>
        </w:tc>
      </w:tr>
      <w:tr>
        <w:tblPrEx>
          <w:tblLayout w:type="fixed"/>
          <w:tblCellMar>
            <w:top w:w="15" w:type="dxa"/>
            <w:left w:w="15" w:type="dxa"/>
            <w:bottom w:w="15" w:type="dxa"/>
            <w:right w:w="15" w:type="dxa"/>
          </w:tblCellMar>
        </w:tblPrEx>
        <w:trPr>
          <w:trHeight w:val="39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2.6信息统一管理</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1.总医院设置专职信息管理部门及统一管理组织</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_GB2312" w:cs="Times New Roman"/>
                <w:color w:val="000000"/>
                <w:kern w:val="0"/>
                <w:sz w:val="24"/>
                <w:szCs w:val="24"/>
                <w:lang w:bidi="ar"/>
              </w:rPr>
              <w:t>建立健全信息系统管理制度和岗位管理制度。</w:t>
            </w:r>
          </w:p>
        </w:tc>
      </w:tr>
      <w:tr>
        <w:tblPrEx>
          <w:tblLayout w:type="fixed"/>
          <w:tblCellMar>
            <w:top w:w="15" w:type="dxa"/>
            <w:left w:w="15" w:type="dxa"/>
            <w:bottom w:w="15" w:type="dxa"/>
            <w:right w:w="15" w:type="dxa"/>
          </w:tblCellMar>
        </w:tblPrEx>
        <w:trPr>
          <w:trHeight w:val="617"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val="en-US" w:eastAsia="zh-CN" w:bidi="ar"/>
              </w:rPr>
              <w:t>2</w:t>
            </w:r>
            <w:r>
              <w:rPr>
                <w:rFonts w:hint="default" w:ascii="Times New Roman" w:hAnsi="Times New Roman" w:eastAsia="仿宋_GB2312" w:cs="Times New Roman"/>
                <w:color w:val="000000"/>
                <w:kern w:val="0"/>
                <w:sz w:val="24"/>
                <w:szCs w:val="24"/>
                <w:lang w:bidi="ar"/>
              </w:rPr>
              <w:t>.根据《广东省紧密型县域医疗卫生共同体内统一信息系统建设目标需求指南》，制度健全，职责明确。</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【B】符合“C”，并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1.信息管理部门有效运行。</w:t>
            </w:r>
          </w:p>
        </w:tc>
      </w:tr>
      <w:tr>
        <w:tblPrEx>
          <w:tblLayout w:type="fixed"/>
          <w:tblCellMar>
            <w:top w:w="15" w:type="dxa"/>
            <w:left w:w="15" w:type="dxa"/>
            <w:bottom w:w="15" w:type="dxa"/>
            <w:right w:w="15" w:type="dxa"/>
          </w:tblCellMar>
        </w:tblPrEx>
        <w:trPr>
          <w:trHeight w:val="619"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2.总医院领导从人力资源、财力、管理技能培训方面对各相关委员会开展信息管理活动提供支持。</w:t>
            </w:r>
          </w:p>
        </w:tc>
      </w:tr>
      <w:tr>
        <w:tblPrEx>
          <w:tblLayout w:type="fixed"/>
          <w:tblCellMar>
            <w:top w:w="15" w:type="dxa"/>
            <w:left w:w="15" w:type="dxa"/>
            <w:bottom w:w="15" w:type="dxa"/>
            <w:right w:w="15" w:type="dxa"/>
          </w:tblCellMar>
        </w:tblPrEx>
        <w:trPr>
          <w:trHeight w:val="9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3.定期开展信息系统督查、评价以及持续改进工作。</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65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1.县域医共体内只有一个信息平台，实现所有</w:t>
            </w:r>
            <w:r>
              <w:rPr>
                <w:rFonts w:hint="default" w:ascii="Times New Roman" w:hAnsi="Times New Roman" w:eastAsia="仿宋_GB2312" w:cs="Times New Roman"/>
                <w:color w:val="000000"/>
                <w:kern w:val="0"/>
                <w:sz w:val="24"/>
                <w:szCs w:val="24"/>
                <w:lang w:eastAsia="zh-CN" w:bidi="ar"/>
              </w:rPr>
              <w:t>成员</w:t>
            </w:r>
            <w:r>
              <w:rPr>
                <w:rFonts w:hint="default" w:ascii="Times New Roman" w:hAnsi="Times New Roman" w:eastAsia="仿宋_GB2312" w:cs="Times New Roman"/>
                <w:color w:val="000000"/>
                <w:kern w:val="0"/>
                <w:sz w:val="24"/>
                <w:szCs w:val="24"/>
                <w:lang w:bidi="ar"/>
              </w:rPr>
              <w:t>医疗机构信息系统互联互通，共享调阅</w:t>
            </w:r>
            <w:r>
              <w:rPr>
                <w:rFonts w:hint="default" w:ascii="Times New Roman" w:hAnsi="Times New Roman" w:eastAsia="仿宋_GB2312" w:cs="Times New Roman"/>
                <w:color w:val="000000"/>
                <w:kern w:val="0"/>
                <w:sz w:val="24"/>
                <w:szCs w:val="24"/>
                <w:lang w:eastAsia="zh-CN" w:bidi="ar"/>
              </w:rPr>
              <w:t>电子病历和健康档案</w:t>
            </w:r>
            <w:r>
              <w:rPr>
                <w:rFonts w:hint="default" w:ascii="Times New Roman" w:hAnsi="Times New Roman" w:eastAsia="仿宋_GB2312" w:cs="Times New Roman"/>
                <w:color w:val="000000"/>
                <w:kern w:val="0"/>
                <w:sz w:val="24"/>
                <w:szCs w:val="24"/>
                <w:lang w:bidi="ar"/>
              </w:rPr>
              <w:t>。</w:t>
            </w:r>
          </w:p>
        </w:tc>
      </w:tr>
      <w:tr>
        <w:tblPrEx>
          <w:tblLayout w:type="fixed"/>
          <w:tblCellMar>
            <w:top w:w="15" w:type="dxa"/>
            <w:left w:w="15" w:type="dxa"/>
            <w:bottom w:w="15" w:type="dxa"/>
            <w:right w:w="15" w:type="dxa"/>
          </w:tblCellMar>
        </w:tblPrEx>
        <w:trPr>
          <w:trHeight w:val="603"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2.县域内居民健康档案和电子病历实现自动整合、归档，县镇村三级医疗机构居民的就诊记录连续、完整并可实时更新。</w:t>
            </w:r>
          </w:p>
        </w:tc>
      </w:tr>
      <w:tr>
        <w:tblPrEx>
          <w:tblLayout w:type="fixed"/>
          <w:tblCellMar>
            <w:top w:w="15" w:type="dxa"/>
            <w:left w:w="15" w:type="dxa"/>
            <w:bottom w:w="15" w:type="dxa"/>
            <w:right w:w="15" w:type="dxa"/>
          </w:tblCellMar>
        </w:tblPrEx>
        <w:trPr>
          <w:trHeight w:val="38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2.7县域分级诊疗★</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【C】</w:t>
            </w:r>
          </w:p>
        </w:tc>
      </w:tr>
      <w:tr>
        <w:tblPrEx>
          <w:tblLayout w:type="fixed"/>
          <w:tblCellMar>
            <w:top w:w="15" w:type="dxa"/>
            <w:left w:w="15" w:type="dxa"/>
            <w:bottom w:w="15" w:type="dxa"/>
            <w:right w:w="15" w:type="dxa"/>
          </w:tblCellMar>
        </w:tblPrEx>
        <w:trPr>
          <w:trHeight w:val="853"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1.根据《广东省紧密型县域医共体内双向转诊运行指南》，设置县域医共体双向转诊管理部门，制度健全，职责明确，建立分级诊疗服务病种目录，确定双向转诊指征、流程。</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2.双向转诊指征、流程和分配机制执行良好</w:t>
            </w:r>
            <w:r>
              <w:rPr>
                <w:rFonts w:hint="default" w:ascii="Times New Roman" w:hAnsi="Times New Roman" w:eastAsia="仿宋_GB2312" w:cs="Times New Roman"/>
                <w:color w:val="auto"/>
                <w:kern w:val="0"/>
                <w:sz w:val="24"/>
                <w:szCs w:val="24"/>
                <w:lang w:eastAsia="zh-CN" w:bidi="ar"/>
              </w:rPr>
              <w:t>，有评价</w:t>
            </w:r>
            <w:r>
              <w:rPr>
                <w:rFonts w:hint="default" w:ascii="Times New Roman" w:hAnsi="Times New Roman" w:eastAsia="仿宋_GB2312" w:cs="Times New Roman"/>
                <w:color w:val="auto"/>
                <w:kern w:val="0"/>
                <w:sz w:val="24"/>
                <w:szCs w:val="24"/>
                <w:lang w:bidi="ar"/>
              </w:rPr>
              <w:t>。</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3.建立非急诊患者实行首诊负责制和转诊审核责任制。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4.县域内建立协同联动的医疗</w:t>
            </w:r>
            <w:r>
              <w:rPr>
                <w:rFonts w:hint="default" w:ascii="Times New Roman" w:hAnsi="Times New Roman" w:eastAsia="仿宋_GB2312" w:cs="Times New Roman"/>
                <w:color w:val="auto"/>
                <w:kern w:val="0"/>
                <w:sz w:val="24"/>
                <w:szCs w:val="24"/>
                <w:lang w:eastAsia="zh-CN" w:bidi="ar"/>
              </w:rPr>
              <w:t>卫生</w:t>
            </w:r>
            <w:r>
              <w:rPr>
                <w:rFonts w:hint="default" w:ascii="Times New Roman" w:hAnsi="Times New Roman" w:eastAsia="仿宋_GB2312" w:cs="Times New Roman"/>
                <w:color w:val="auto"/>
                <w:kern w:val="0"/>
                <w:sz w:val="24"/>
                <w:szCs w:val="24"/>
                <w:lang w:bidi="ar"/>
              </w:rPr>
              <w:t>服务合作机制。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【Ｂ】符合“Ｃ”，并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w:t>
            </w:r>
            <w:r>
              <w:rPr>
                <w:rFonts w:hint="default" w:ascii="Times New Roman" w:hAnsi="Times New Roman" w:eastAsia="仿宋_GB2312" w:cs="Times New Roman"/>
                <w:color w:val="auto"/>
                <w:kern w:val="0"/>
                <w:sz w:val="24"/>
                <w:szCs w:val="24"/>
                <w:lang w:eastAsia="zh-CN" w:bidi="ar"/>
              </w:rPr>
              <w:t>县域内</w:t>
            </w:r>
            <w:r>
              <w:rPr>
                <w:rFonts w:hint="default" w:ascii="Times New Roman" w:hAnsi="Times New Roman" w:eastAsia="仿宋_GB2312" w:cs="Times New Roman"/>
                <w:color w:val="auto"/>
                <w:kern w:val="0"/>
                <w:sz w:val="24"/>
                <w:szCs w:val="24"/>
                <w:lang w:bidi="ar"/>
              </w:rPr>
              <w:t>基层医疗卫生机构就诊率、</w:t>
            </w:r>
            <w:r>
              <w:rPr>
                <w:rFonts w:hint="default" w:ascii="Times New Roman" w:hAnsi="Times New Roman" w:eastAsia="仿宋_GB2312" w:cs="Times New Roman"/>
                <w:color w:val="auto"/>
                <w:kern w:val="0"/>
                <w:sz w:val="24"/>
                <w:szCs w:val="24"/>
                <w:lang w:eastAsia="zh-CN" w:bidi="ar"/>
              </w:rPr>
              <w:t>县域内基层住院占比、</w:t>
            </w:r>
            <w:r>
              <w:rPr>
                <w:rFonts w:hint="default" w:ascii="Times New Roman" w:hAnsi="Times New Roman" w:eastAsia="仿宋_GB2312" w:cs="Times New Roman"/>
                <w:color w:val="auto"/>
                <w:kern w:val="0"/>
                <w:sz w:val="24"/>
                <w:szCs w:val="24"/>
                <w:lang w:bidi="ar"/>
              </w:rPr>
              <w:t>县域住院率较上年度上升。</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2.总医院下转基层医疗卫生机构的患者人次数占比较上年度上升。</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【A】符合“B”，并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w:t>
            </w:r>
            <w:r>
              <w:rPr>
                <w:rFonts w:hint="default" w:ascii="Times New Roman" w:hAnsi="Times New Roman" w:eastAsia="仿宋_GB2312" w:cs="Times New Roman"/>
                <w:color w:val="auto"/>
                <w:kern w:val="0"/>
                <w:sz w:val="24"/>
                <w:szCs w:val="24"/>
                <w:lang w:eastAsia="zh-CN" w:bidi="ar"/>
              </w:rPr>
              <w:t>县域内</w:t>
            </w:r>
            <w:r>
              <w:rPr>
                <w:rFonts w:hint="default" w:ascii="Times New Roman" w:hAnsi="Times New Roman" w:eastAsia="仿宋_GB2312" w:cs="Times New Roman"/>
                <w:color w:val="auto"/>
                <w:kern w:val="0"/>
                <w:sz w:val="24"/>
                <w:szCs w:val="24"/>
                <w:lang w:bidi="ar"/>
              </w:rPr>
              <w:t>基层医疗卫生机构就诊率≥65%。</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2.</w:t>
            </w:r>
            <w:r>
              <w:rPr>
                <w:rFonts w:hint="default" w:ascii="Times New Roman" w:hAnsi="Times New Roman" w:eastAsia="仿宋_GB2312" w:cs="Times New Roman"/>
                <w:color w:val="auto"/>
                <w:kern w:val="0"/>
                <w:sz w:val="24"/>
                <w:szCs w:val="24"/>
                <w:lang w:eastAsia="zh-CN" w:bidi="ar"/>
              </w:rPr>
              <w:t>县域内基层住院占比达到</w:t>
            </w:r>
            <w:r>
              <w:rPr>
                <w:rFonts w:hint="default" w:ascii="Times New Roman" w:hAnsi="Times New Roman" w:eastAsia="仿宋_GB2312" w:cs="Times New Roman"/>
                <w:color w:val="auto"/>
                <w:kern w:val="0"/>
                <w:sz w:val="24"/>
                <w:szCs w:val="24"/>
                <w:lang w:val="en-US" w:eastAsia="zh-CN" w:bidi="ar"/>
              </w:rPr>
              <w:t>40%以上。</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val="en-US" w:eastAsia="zh-CN" w:bidi="ar"/>
              </w:rPr>
              <w:t>3.</w:t>
            </w:r>
            <w:r>
              <w:rPr>
                <w:rFonts w:hint="default" w:ascii="Times New Roman" w:hAnsi="Times New Roman" w:eastAsia="仿宋_GB2312" w:cs="Times New Roman"/>
                <w:color w:val="auto"/>
                <w:kern w:val="0"/>
                <w:sz w:val="24"/>
                <w:szCs w:val="24"/>
                <w:lang w:eastAsia="zh-CN" w:bidi="ar"/>
              </w:rPr>
              <w:t>县域内住院</w:t>
            </w:r>
            <w:r>
              <w:rPr>
                <w:rFonts w:hint="default" w:ascii="Times New Roman" w:hAnsi="Times New Roman" w:eastAsia="仿宋_GB2312" w:cs="Times New Roman"/>
                <w:color w:val="auto"/>
                <w:kern w:val="0"/>
                <w:sz w:val="24"/>
                <w:szCs w:val="24"/>
                <w:lang w:bidi="ar"/>
              </w:rPr>
              <w:t>率≥65%</w:t>
            </w:r>
            <w:r>
              <w:rPr>
                <w:rFonts w:hint="default" w:ascii="Times New Roman" w:hAnsi="Times New Roman" w:eastAsia="仿宋_GB2312" w:cs="Times New Roman"/>
                <w:color w:val="auto"/>
                <w:kern w:val="0"/>
                <w:sz w:val="24"/>
                <w:szCs w:val="24"/>
                <w:lang w:eastAsia="zh-CN" w:bidi="ar"/>
              </w:rPr>
              <w:t>。</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val="en-US" w:eastAsia="zh-CN" w:bidi="ar"/>
              </w:rPr>
              <w:t>4</w:t>
            </w:r>
            <w:r>
              <w:rPr>
                <w:rFonts w:hint="default" w:ascii="Times New Roman" w:hAnsi="Times New Roman" w:eastAsia="仿宋_GB2312" w:cs="Times New Roman"/>
                <w:color w:val="auto"/>
                <w:kern w:val="0"/>
                <w:sz w:val="24"/>
                <w:szCs w:val="24"/>
                <w:lang w:bidi="ar"/>
              </w:rPr>
              <w:t>.</w:t>
            </w:r>
            <w:r>
              <w:rPr>
                <w:rFonts w:hint="default" w:ascii="Times New Roman" w:hAnsi="Times New Roman" w:eastAsia="仿宋_GB2312" w:cs="Times New Roman"/>
                <w:color w:val="auto"/>
                <w:kern w:val="0"/>
                <w:sz w:val="24"/>
                <w:szCs w:val="24"/>
                <w:highlight w:val="none"/>
              </w:rPr>
              <w:t>县域医共体内医保资金占业务收入比例</w:t>
            </w:r>
            <w:r>
              <w:rPr>
                <w:rFonts w:hint="default" w:ascii="Times New Roman" w:hAnsi="Times New Roman" w:eastAsia="仿宋_GB2312" w:cs="Times New Roman"/>
                <w:color w:val="auto"/>
                <w:kern w:val="0"/>
                <w:sz w:val="24"/>
                <w:szCs w:val="24"/>
                <w:highlight w:val="none"/>
                <w:lang w:eastAsia="zh-CN"/>
              </w:rPr>
              <w:t>、</w:t>
            </w:r>
            <w:r>
              <w:rPr>
                <w:rFonts w:hint="default" w:ascii="Times New Roman" w:hAnsi="Times New Roman" w:eastAsia="仿宋_GB2312" w:cs="Times New Roman"/>
                <w:color w:val="auto"/>
                <w:kern w:val="0"/>
                <w:sz w:val="24"/>
                <w:szCs w:val="24"/>
                <w:highlight w:val="none"/>
              </w:rPr>
              <w:t>基层医疗卫生机构医保基金占比有上升。</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2.8公共卫生管理★</w:t>
            </w:r>
          </w:p>
        </w:tc>
        <w:tc>
          <w:tcPr>
            <w:tcW w:w="72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【C】</w:t>
            </w:r>
          </w:p>
        </w:tc>
      </w:tr>
      <w:tr>
        <w:tblPrEx>
          <w:tblLayout w:type="fixed"/>
          <w:tblCellMar>
            <w:top w:w="15" w:type="dxa"/>
            <w:left w:w="15" w:type="dxa"/>
            <w:bottom w:w="15" w:type="dxa"/>
            <w:right w:w="15" w:type="dxa"/>
          </w:tblCellMar>
        </w:tblPrEx>
        <w:trPr>
          <w:trHeight w:val="347"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1.总医院设置公共卫生管理部门，制度健全，职责明确。</w:t>
            </w:r>
          </w:p>
        </w:tc>
      </w:tr>
      <w:tr>
        <w:tblPrEx>
          <w:tblLayout w:type="fixed"/>
          <w:tblCellMar>
            <w:top w:w="15" w:type="dxa"/>
            <w:left w:w="15" w:type="dxa"/>
            <w:bottom w:w="15" w:type="dxa"/>
            <w:right w:w="15" w:type="dxa"/>
          </w:tblCellMar>
        </w:tblPrEx>
        <w:trPr>
          <w:trHeight w:val="663"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2.有公共卫生管理组织架构图，能清楚反映县域医共体公共卫生管理组织结构，体现总院长是第一责任人。</w:t>
            </w:r>
          </w:p>
        </w:tc>
      </w:tr>
      <w:tr>
        <w:tblPrEx>
          <w:tblLayout w:type="fixed"/>
          <w:tblCellMar>
            <w:top w:w="15" w:type="dxa"/>
            <w:left w:w="15" w:type="dxa"/>
            <w:bottom w:w="15" w:type="dxa"/>
            <w:right w:w="15" w:type="dxa"/>
          </w:tblCellMar>
        </w:tblPrEx>
        <w:trPr>
          <w:trHeight w:val="677"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3.县域医共体总医院、各分院、村卫生站三级医疗机构纳入公共卫生一体化管理，形成医共体内的公共卫生</w:t>
            </w:r>
            <w:r>
              <w:rPr>
                <w:rFonts w:hint="default" w:ascii="Times New Roman" w:hAnsi="Times New Roman" w:eastAsia="仿宋_GB2312" w:cs="Times New Roman"/>
                <w:color w:val="auto"/>
                <w:kern w:val="0"/>
                <w:sz w:val="24"/>
                <w:szCs w:val="24"/>
                <w:lang w:eastAsia="zh-CN" w:bidi="ar"/>
              </w:rPr>
              <w:t>协同</w:t>
            </w:r>
            <w:r>
              <w:rPr>
                <w:rFonts w:hint="default" w:ascii="Times New Roman" w:hAnsi="Times New Roman" w:eastAsia="仿宋_GB2312" w:cs="Times New Roman"/>
                <w:color w:val="auto"/>
                <w:kern w:val="0"/>
                <w:sz w:val="24"/>
                <w:szCs w:val="24"/>
                <w:lang w:bidi="ar"/>
              </w:rPr>
              <w:t>管理体系。</w:t>
            </w:r>
          </w:p>
        </w:tc>
      </w:tr>
      <w:tr>
        <w:tblPrEx>
          <w:tblLayout w:type="fixed"/>
          <w:tblCellMar>
            <w:top w:w="15" w:type="dxa"/>
            <w:left w:w="15" w:type="dxa"/>
            <w:bottom w:w="15" w:type="dxa"/>
            <w:right w:w="15" w:type="dxa"/>
          </w:tblCellMar>
        </w:tblPrEx>
        <w:trPr>
          <w:trHeight w:val="642"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spacing w:line="0" w:lineRule="atLeast"/>
              <w:jc w:val="left"/>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4.建立县域医共体与县区疾控机构之间协同工作、信息共享的常态化运行机制。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【Ｂ】符合“Ｃ”，并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spacing w:line="0" w:lineRule="atLeast"/>
              <w:jc w:val="left"/>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1.相关工作人员知晓并遵守相关制度，履行岗位职责。</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spacing w:line="0" w:lineRule="atLeast"/>
              <w:jc w:val="left"/>
              <w:textAlignment w:val="bottom"/>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2.医共体内管理部门建立协调机制和协调流程，</w:t>
            </w:r>
            <w:r>
              <w:rPr>
                <w:rFonts w:hint="default" w:ascii="Times New Roman" w:hAnsi="Times New Roman" w:eastAsia="仿宋_GB2312" w:cs="Times New Roman"/>
                <w:color w:val="auto"/>
                <w:kern w:val="0"/>
                <w:sz w:val="24"/>
                <w:szCs w:val="24"/>
                <w:lang w:eastAsia="zh-CN" w:bidi="ar"/>
              </w:rPr>
              <w:t>统筹管理，协同完成各项</w:t>
            </w:r>
            <w:r>
              <w:rPr>
                <w:rFonts w:hint="default" w:ascii="Times New Roman" w:hAnsi="Times New Roman" w:eastAsia="仿宋_GB2312" w:cs="Times New Roman"/>
                <w:color w:val="auto"/>
                <w:kern w:val="0"/>
                <w:sz w:val="24"/>
                <w:szCs w:val="24"/>
                <w:lang w:bidi="ar"/>
              </w:rPr>
              <w:t>公共卫生工作。</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【A】符合“B”，并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1.医共体内职能部门定期开展公共卫生管理督查、评价以及持续改进工作。</w:t>
            </w:r>
          </w:p>
        </w:tc>
      </w:tr>
      <w:tr>
        <w:tblPrEx>
          <w:tblLayout w:type="fixed"/>
          <w:tblCellMar>
            <w:top w:w="15" w:type="dxa"/>
            <w:left w:w="15" w:type="dxa"/>
            <w:bottom w:w="15" w:type="dxa"/>
            <w:right w:w="15" w:type="dxa"/>
          </w:tblCellMar>
        </w:tblPrEx>
        <w:trPr>
          <w:trHeight w:val="400" w:hRule="atLeast"/>
        </w:trPr>
        <w:tc>
          <w:tcPr>
            <w:tcW w:w="10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三、服务共同体</w:t>
            </w: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3.1县域综合服务能力★</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【C】</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1.县域内住院率＜85%的较上年度</w:t>
            </w:r>
            <w:r>
              <w:rPr>
                <w:rFonts w:hint="default" w:ascii="Times New Roman" w:hAnsi="Times New Roman" w:eastAsia="仿宋_GB2312" w:cs="Times New Roman"/>
                <w:color w:val="auto"/>
                <w:kern w:val="0"/>
                <w:sz w:val="24"/>
                <w:szCs w:val="24"/>
                <w:lang w:eastAsia="zh-CN" w:bidi="ar"/>
              </w:rPr>
              <w:t>有</w:t>
            </w:r>
            <w:r>
              <w:rPr>
                <w:rFonts w:hint="default" w:ascii="Times New Roman" w:hAnsi="Times New Roman" w:eastAsia="仿宋_GB2312" w:cs="Times New Roman"/>
                <w:color w:val="auto"/>
                <w:kern w:val="0"/>
                <w:sz w:val="24"/>
                <w:szCs w:val="24"/>
                <w:lang w:bidi="ar"/>
              </w:rPr>
              <w:t>上升。</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2.总医院出院患者平均住院日较上年下降。</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3.总医院C、D型病例</w:t>
            </w:r>
            <w:r>
              <w:rPr>
                <w:rFonts w:hint="default" w:ascii="Times New Roman" w:hAnsi="Times New Roman" w:eastAsia="仿宋_GB2312" w:cs="Times New Roman"/>
                <w:color w:val="auto"/>
                <w:kern w:val="0"/>
                <w:sz w:val="24"/>
                <w:szCs w:val="24"/>
              </w:rPr>
              <w:t>及Ⅲ级</w:t>
            </w:r>
            <w:r>
              <w:rPr>
                <w:rFonts w:hint="default" w:ascii="Times New Roman" w:hAnsi="Times New Roman" w:eastAsia="仿宋_GB2312" w:cs="Times New Roman"/>
                <w:color w:val="auto"/>
                <w:kern w:val="0"/>
                <w:sz w:val="24"/>
                <w:szCs w:val="24"/>
                <w:lang w:eastAsia="zh-CN"/>
              </w:rPr>
              <w:t>Ⅳ级</w:t>
            </w:r>
            <w:r>
              <w:rPr>
                <w:rFonts w:hint="default" w:ascii="Times New Roman" w:hAnsi="Times New Roman" w:eastAsia="仿宋_GB2312" w:cs="Times New Roman"/>
                <w:color w:val="auto"/>
                <w:kern w:val="0"/>
                <w:sz w:val="24"/>
                <w:szCs w:val="24"/>
              </w:rPr>
              <w:t>手术</w:t>
            </w:r>
            <w:r>
              <w:rPr>
                <w:rFonts w:hint="default" w:ascii="Times New Roman" w:hAnsi="Times New Roman" w:eastAsia="仿宋_GB2312" w:cs="Times New Roman"/>
                <w:color w:val="auto"/>
                <w:kern w:val="0"/>
                <w:sz w:val="24"/>
                <w:szCs w:val="24"/>
                <w:lang w:bidi="ar"/>
              </w:rPr>
              <w:t>占比较上年度上升。</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4.</w:t>
            </w:r>
            <w:r>
              <w:rPr>
                <w:rFonts w:hint="default" w:ascii="Times New Roman" w:hAnsi="Times New Roman" w:eastAsia="仿宋_GB2312" w:cs="Times New Roman"/>
                <w:color w:val="auto"/>
                <w:kern w:val="0"/>
                <w:sz w:val="24"/>
                <w:szCs w:val="24"/>
              </w:rPr>
              <w:t>总医院帮扶分院开展新技术、新项目1项/年/间。</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【Ｂ】符合“Ｃ”，并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1.总医院达到县级医院医疗服务能力基本标准。</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2.基层医疗机构达到乡镇卫生院服务能力基本标准。</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w:t>
            </w:r>
            <w:r>
              <w:rPr>
                <w:rFonts w:hint="default" w:ascii="Times New Roman" w:hAnsi="Times New Roman" w:eastAsia="仿宋_GB2312" w:cs="Times New Roman"/>
                <w:color w:val="auto"/>
                <w:kern w:val="0"/>
                <w:sz w:val="24"/>
                <w:szCs w:val="24"/>
              </w:rPr>
              <w:t>总医院帮扶分院开展新技术、新项目</w:t>
            </w:r>
            <w:r>
              <w:rPr>
                <w:rFonts w:hint="default" w:ascii="Times New Roman" w:hAnsi="Times New Roman" w:eastAsia="仿宋_GB2312" w:cs="Times New Roman"/>
                <w:color w:val="auto"/>
                <w:kern w:val="0"/>
                <w:sz w:val="24"/>
                <w:szCs w:val="24"/>
                <w:lang w:eastAsia="zh-CN"/>
              </w:rPr>
              <w:t>至少</w:t>
            </w:r>
            <w:r>
              <w:rPr>
                <w:rFonts w:hint="default" w:ascii="Times New Roman" w:hAnsi="Times New Roman" w:eastAsia="仿宋_GB2312" w:cs="Times New Roman"/>
                <w:color w:val="auto"/>
                <w:kern w:val="0"/>
                <w:sz w:val="24"/>
                <w:szCs w:val="24"/>
              </w:rPr>
              <w:t>2项/年/间。</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【A】符合“B”，并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1.总医院达到县级医院医疗服务能力推荐标准</w:t>
            </w:r>
            <w:r>
              <w:rPr>
                <w:rFonts w:hint="default" w:ascii="Times New Roman" w:hAnsi="Times New Roman" w:eastAsia="仿宋_GB2312" w:cs="Times New Roman"/>
                <w:color w:val="auto"/>
                <w:kern w:val="0"/>
                <w:sz w:val="24"/>
                <w:szCs w:val="24"/>
                <w:lang w:eastAsia="zh-CN" w:bidi="ar"/>
              </w:rPr>
              <w:t>，达到推荐标准的条款数有大幅提升</w:t>
            </w:r>
            <w:r>
              <w:rPr>
                <w:rFonts w:hint="default" w:ascii="Times New Roman" w:hAnsi="Times New Roman" w:eastAsia="仿宋_GB2312" w:cs="Times New Roman"/>
                <w:color w:val="auto"/>
                <w:kern w:val="0"/>
                <w:sz w:val="24"/>
                <w:szCs w:val="24"/>
                <w:lang w:bidi="ar"/>
              </w:rPr>
              <w:t>。</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2.至少一间基层医疗</w:t>
            </w:r>
            <w:r>
              <w:rPr>
                <w:rFonts w:hint="default" w:ascii="Times New Roman" w:hAnsi="Times New Roman" w:eastAsia="仿宋_GB2312" w:cs="Times New Roman"/>
                <w:color w:val="auto"/>
                <w:kern w:val="0"/>
                <w:sz w:val="24"/>
                <w:szCs w:val="24"/>
                <w:lang w:eastAsia="zh-CN" w:bidi="ar"/>
              </w:rPr>
              <w:t>卫生</w:t>
            </w:r>
            <w:r>
              <w:rPr>
                <w:rFonts w:hint="default" w:ascii="Times New Roman" w:hAnsi="Times New Roman" w:eastAsia="仿宋_GB2312" w:cs="Times New Roman"/>
                <w:color w:val="auto"/>
                <w:kern w:val="0"/>
                <w:sz w:val="24"/>
                <w:szCs w:val="24"/>
                <w:lang w:bidi="ar"/>
              </w:rPr>
              <w:t>机构达到乡镇卫生院服务能力推荐标准。</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3.总医院出院患者平均住院日≤8天。</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4.县域内住院率≥85%。</w:t>
            </w:r>
          </w:p>
        </w:tc>
      </w:tr>
      <w:tr>
        <w:tblPrEx>
          <w:tblLayout w:type="fixed"/>
          <w:tblCellMar>
            <w:top w:w="15" w:type="dxa"/>
            <w:left w:w="15" w:type="dxa"/>
            <w:bottom w:w="15" w:type="dxa"/>
            <w:right w:w="15" w:type="dxa"/>
          </w:tblCellMar>
        </w:tblPrEx>
        <w:trPr>
          <w:trHeight w:val="37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3.2县域内辐射能力★</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【C】</w:t>
            </w:r>
          </w:p>
        </w:tc>
      </w:tr>
      <w:tr>
        <w:tblPrEx>
          <w:tblLayout w:type="fixed"/>
          <w:tblCellMar>
            <w:top w:w="15" w:type="dxa"/>
            <w:left w:w="15" w:type="dxa"/>
            <w:bottom w:w="15" w:type="dxa"/>
            <w:right w:w="15" w:type="dxa"/>
          </w:tblCellMar>
        </w:tblPrEx>
        <w:trPr>
          <w:trHeight w:val="68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1.根据《广东省紧密型县域医疗卫生共同体内分片区组团式帮扶实施指南》，建立健全县域医共体实行分片区组团式紧密型帮扶机制。</w:t>
            </w:r>
          </w:p>
        </w:tc>
      </w:tr>
      <w:tr>
        <w:tblPrEx>
          <w:tblLayout w:type="fixed"/>
          <w:tblCellMar>
            <w:top w:w="15" w:type="dxa"/>
            <w:left w:w="15" w:type="dxa"/>
            <w:bottom w:w="15" w:type="dxa"/>
            <w:right w:w="15" w:type="dxa"/>
          </w:tblCellMar>
        </w:tblPrEx>
        <w:trPr>
          <w:trHeight w:val="957"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整合县域医共体资源，建立临床医疗业务中心：急救中心、胸痛中心、卒中中心、慢病管理中心、创伤中心、孕产妇救助中心、中医治未病中心、健康管理中心、新生儿救治中心等，至少建立前5个以上的“中心”。</w:t>
            </w:r>
          </w:p>
        </w:tc>
      </w:tr>
      <w:tr>
        <w:tblPrEx>
          <w:tblLayout w:type="fixed"/>
          <w:tblCellMar>
            <w:top w:w="15" w:type="dxa"/>
            <w:left w:w="15" w:type="dxa"/>
            <w:bottom w:w="15" w:type="dxa"/>
            <w:right w:w="15" w:type="dxa"/>
          </w:tblCellMar>
        </w:tblPrEx>
        <w:trPr>
          <w:trHeight w:val="121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以平台资源共享为支撑，建立县域医学影像诊断中心、远程心电诊断中心、县级医学检验中心、消毒供应中心、远程病理诊断中心、远程会诊中心等，至少建立前3个以上的“中心”。逐步达到县域内资源共享及结果互认管理。</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4.总医院在各成员单位建立“联合病房”、“专家门诊”或“名医工作室”。</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【Ｂ】符合“Ｃ”，并</w:t>
            </w:r>
          </w:p>
        </w:tc>
      </w:tr>
      <w:tr>
        <w:tblPrEx>
          <w:tblLayout w:type="fixed"/>
          <w:tblCellMar>
            <w:top w:w="15" w:type="dxa"/>
            <w:left w:w="15" w:type="dxa"/>
            <w:bottom w:w="15" w:type="dxa"/>
            <w:right w:w="15" w:type="dxa"/>
          </w:tblCellMar>
        </w:tblPrEx>
        <w:trPr>
          <w:trHeight w:val="68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1.县域医共体统筹实行分片区组团式紧密型帮扶政策初见成效，达到一分院一特色，一片区多学科。</w:t>
            </w:r>
          </w:p>
        </w:tc>
      </w:tr>
      <w:tr>
        <w:tblPrEx>
          <w:tblLayout w:type="fixed"/>
          <w:tblCellMar>
            <w:top w:w="15" w:type="dxa"/>
            <w:left w:w="15" w:type="dxa"/>
            <w:bottom w:w="15" w:type="dxa"/>
            <w:right w:w="15" w:type="dxa"/>
          </w:tblCellMar>
        </w:tblPrEx>
        <w:trPr>
          <w:trHeight w:val="9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整合县域医共体资源，建立临床医疗业务中心：急救中心、胸痛中心、卒中中心、慢病管理中心、创伤中心、孕产妇救助中心、中医治未病中心、健康管理中心、新生儿救治中心等，至少建立前7个以上的“中心”。</w:t>
            </w:r>
          </w:p>
        </w:tc>
      </w:tr>
      <w:tr>
        <w:tblPrEx>
          <w:tblLayout w:type="fixed"/>
          <w:tblCellMar>
            <w:top w:w="15" w:type="dxa"/>
            <w:left w:w="15" w:type="dxa"/>
            <w:bottom w:w="15" w:type="dxa"/>
            <w:right w:w="15" w:type="dxa"/>
          </w:tblCellMar>
        </w:tblPrEx>
        <w:trPr>
          <w:trHeight w:val="121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以平台资源共享为支撑，建立县域医学影像诊断中心、远程心电诊断中心、县级医学检验中心、消毒供应中心、远程病理诊断中心、远程会诊中心等，至少建立前4个以上的“中心”。逐步达到县域内资源共享及结果互认管理。</w:t>
            </w:r>
          </w:p>
        </w:tc>
      </w:tr>
      <w:tr>
        <w:tblPrEx>
          <w:tblLayout w:type="fixed"/>
          <w:tblCellMar>
            <w:top w:w="15" w:type="dxa"/>
            <w:left w:w="15" w:type="dxa"/>
            <w:bottom w:w="15" w:type="dxa"/>
            <w:right w:w="15" w:type="dxa"/>
          </w:tblCellMar>
        </w:tblPrEx>
        <w:trPr>
          <w:trHeight w:val="68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4.“联合病房”、“专家门诊”或“名医工作室”</w:t>
            </w:r>
            <w:r>
              <w:rPr>
                <w:rFonts w:hint="default" w:ascii="Times New Roman" w:hAnsi="Times New Roman" w:eastAsia="仿宋_GB2312" w:cs="Times New Roman"/>
                <w:color w:val="000000"/>
                <w:kern w:val="0"/>
                <w:sz w:val="24"/>
                <w:szCs w:val="24"/>
                <w:highlight w:val="none"/>
                <w:lang w:bidi="ar"/>
              </w:rPr>
              <w:t>有</w:t>
            </w:r>
            <w:r>
              <w:rPr>
                <w:rFonts w:hint="default" w:ascii="Times New Roman" w:hAnsi="Times New Roman" w:eastAsia="仿宋_GB2312" w:cs="Times New Roman"/>
                <w:color w:val="000000"/>
                <w:kern w:val="0"/>
                <w:sz w:val="24"/>
                <w:szCs w:val="24"/>
                <w:highlight w:val="none"/>
                <w:lang w:eastAsia="zh-CN" w:bidi="ar"/>
              </w:rPr>
              <w:t>常态化运行，有制度</w:t>
            </w:r>
            <w:r>
              <w:rPr>
                <w:rFonts w:hint="default" w:ascii="Times New Roman" w:hAnsi="Times New Roman" w:eastAsia="仿宋_GB2312" w:cs="Times New Roman"/>
                <w:color w:val="000000"/>
                <w:kern w:val="0"/>
                <w:sz w:val="24"/>
                <w:szCs w:val="24"/>
                <w:highlight w:val="none"/>
                <w:lang w:bidi="ar"/>
              </w:rPr>
              <w:t>。</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9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1.县域医共体统筹实行分片区组团式紧密型帮扶政策显著成效，达到一分院一特色，一片区多学科。</w:t>
            </w:r>
          </w:p>
        </w:tc>
      </w:tr>
      <w:tr>
        <w:tblPrEx>
          <w:tblLayout w:type="fixed"/>
          <w:tblCellMar>
            <w:top w:w="15" w:type="dxa"/>
            <w:left w:w="15" w:type="dxa"/>
            <w:bottom w:w="15" w:type="dxa"/>
            <w:right w:w="15" w:type="dxa"/>
          </w:tblCellMar>
        </w:tblPrEx>
        <w:trPr>
          <w:trHeight w:val="988"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2.整合县域医共体资源，建立临床医疗业务中心：急救中心、胸痛中心、卒中中心、慢病管理中心、创伤中心、孕产妇救助中心、中医治未病中心、健康管理中心、新生儿救治中心等，建立以上的所有“中心”。</w:t>
            </w:r>
          </w:p>
        </w:tc>
      </w:tr>
      <w:tr>
        <w:tblPrEx>
          <w:tblLayout w:type="fixed"/>
          <w:tblCellMar>
            <w:top w:w="15" w:type="dxa"/>
            <w:left w:w="15" w:type="dxa"/>
            <w:bottom w:w="15" w:type="dxa"/>
            <w:right w:w="15" w:type="dxa"/>
          </w:tblCellMar>
        </w:tblPrEx>
        <w:trPr>
          <w:trHeight w:val="1215"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以平台资源共享为支撑，建立县域医学影像诊断中心、远程心电诊断中心、县级医学检验中心、消毒供应中心、远程病理诊断中心，远程会诊中心，逐步达到县域内资源共享及结果互认管理。建立以上的所有“中心”。</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4.“联合病房”、“专家门诊”或“名医工作室”有</w:t>
            </w:r>
            <w:r>
              <w:rPr>
                <w:rFonts w:hint="default" w:ascii="Times New Roman" w:hAnsi="Times New Roman" w:eastAsia="仿宋_GB2312" w:cs="Times New Roman"/>
                <w:color w:val="000000"/>
                <w:kern w:val="0"/>
                <w:sz w:val="24"/>
                <w:szCs w:val="24"/>
                <w:lang w:eastAsia="zh-CN" w:bidi="ar"/>
              </w:rPr>
              <w:t>监管及持续改进措施</w:t>
            </w:r>
            <w:r>
              <w:rPr>
                <w:rFonts w:hint="default" w:ascii="Times New Roman" w:hAnsi="Times New Roman" w:eastAsia="仿宋_GB2312" w:cs="Times New Roman"/>
                <w:color w:val="000000"/>
                <w:kern w:val="0"/>
                <w:sz w:val="24"/>
                <w:szCs w:val="24"/>
                <w:lang w:bidi="ar"/>
              </w:rPr>
              <w:t>。</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3.3中医药服务</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rPr>
                <w:rFonts w:hint="default" w:ascii="Times New Roman" w:hAnsi="Times New Roman" w:eastAsia="仿宋_GB2312" w:cs="Times New Roman"/>
                <w:color w:val="000000"/>
                <w:sz w:val="24"/>
                <w:szCs w:val="24"/>
              </w:rPr>
            </w:pP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3.3.1中医管理</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9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1.总医院中医药工作有政策保障制度，建立基层中医适宜技术推广工作制度和中医药服务质量评估监管制度。</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r>
              <w:rPr>
                <w:rFonts w:hint="default" w:ascii="Times New Roman" w:hAnsi="Times New Roman" w:eastAsia="仿宋_GB2312" w:cs="Times New Roman"/>
                <w:sz w:val="24"/>
              </w:rPr>
              <w:t xml:space="preserve"> </w:t>
            </w:r>
            <w:r>
              <w:rPr>
                <w:rFonts w:hint="default" w:ascii="Times New Roman" w:hAnsi="Times New Roman" w:eastAsia="仿宋_GB2312" w:cs="Times New Roman"/>
                <w:color w:val="000000"/>
                <w:kern w:val="0"/>
                <w:sz w:val="24"/>
                <w:szCs w:val="24"/>
                <w:lang w:bidi="ar"/>
              </w:rPr>
              <w:t>基层卫生医疗机构设立中医科、康复科或中医综合服务区（中医馆），科室具有中医文化氛围。</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【Ｂ】符合“Ｃ”，并</w:t>
            </w:r>
          </w:p>
        </w:tc>
      </w:tr>
      <w:tr>
        <w:tblPrEx>
          <w:tblLayout w:type="fixed"/>
          <w:tblCellMar>
            <w:top w:w="15" w:type="dxa"/>
            <w:left w:w="15" w:type="dxa"/>
            <w:bottom w:w="15" w:type="dxa"/>
            <w:right w:w="15" w:type="dxa"/>
          </w:tblCellMar>
        </w:tblPrEx>
        <w:trPr>
          <w:trHeight w:val="921"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1.将中医工作纳入医共体整体发展规划，成立中医药领导小组、设立中医药专项经费、建立中西医协作机制，并能从制度与程序提供必要的保障，有改进意见。</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2.县域医共体总医院、各分院提供中医或康复病床服务。</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3.基层中医适宜技术推广工作制度和中医药服务质量评估制度得到有效落实。</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1.职能部门对县域内中医药工作开展情况有分析、总结、反馈及改进措施。</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2.严格执行中医药行业标准、中医诊疗规范和中药饮片管理规范等相关规定。</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3.3.2中医医疗服务★</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299"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1.各分院能辨证施治内、外、妇、儿常见病、多发病。</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2.配备有资质的中医师。</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【Ｂ】符合“Ｃ”，并</w:t>
            </w:r>
          </w:p>
        </w:tc>
      </w:tr>
      <w:tr>
        <w:tblPrEx>
          <w:tblLayout w:type="fixed"/>
          <w:tblCellMar>
            <w:top w:w="15" w:type="dxa"/>
            <w:left w:w="15" w:type="dxa"/>
            <w:bottom w:w="15" w:type="dxa"/>
            <w:right w:w="15" w:type="dxa"/>
          </w:tblCellMar>
        </w:tblPrEx>
        <w:trPr>
          <w:trHeight w:val="81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r>
              <w:rPr>
                <w:rFonts w:hint="default" w:ascii="Times New Roman" w:hAnsi="Times New Roman" w:eastAsia="仿宋_GB2312" w:cs="Times New Roman"/>
                <w:sz w:val="24"/>
              </w:rPr>
              <w:t xml:space="preserve"> </w:t>
            </w:r>
            <w:r>
              <w:rPr>
                <w:rFonts w:hint="default" w:ascii="Times New Roman" w:hAnsi="Times New Roman" w:eastAsia="仿宋_GB2312" w:cs="Times New Roman"/>
                <w:color w:val="000000"/>
                <w:kern w:val="0"/>
                <w:sz w:val="24"/>
                <w:szCs w:val="24"/>
                <w:lang w:bidi="ar"/>
              </w:rPr>
              <w:t>中药饮片管理规范，饮片质量符合标准要求，并提供代煎服务。能够规范开展6类以上中医药适宜技术，开展2种以上慢性病中医药养生保健服务。</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2.中医类别医师占医师总数占比未达到标准要求，但较上年有所提升。</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3.县域医共体内基层医疗机构中医诊疗量占比未达到目标要求，但较上年有所提升。</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331"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1.能够积极运用中医治未病理论和方法，提供中医养生保健服务。</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2.中医类别医师占医师总数占比达到20%。</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3.县域医共体基层医疗机构中医诊疗量占比≥30%。</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4.100%的乡镇卫生院（社区卫生服务中心）和80%的村卫生站能提供中医非药物疗法。</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3.3.3中医药健康管理★</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1.按照规范要求，具备开展中医药服务的设施设备和人员条件。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2.对辖区内65岁以上老年人和0-36个月儿童规范开展中医药健康管理服务。</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【Ｂ】符合“Ｃ”，并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1.65岁以上老年人和0-36个月儿童中医药健康管理率达到50%。</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2.相关服务由中医师及团队参与。</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【A】符合“B”，并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val="en-US" w:eastAsia="zh-CN" w:bidi="ar"/>
              </w:rPr>
              <w:t>1.</w:t>
            </w:r>
            <w:r>
              <w:rPr>
                <w:rFonts w:hint="default" w:ascii="Times New Roman" w:hAnsi="Times New Roman" w:eastAsia="仿宋_GB2312" w:cs="Times New Roman"/>
                <w:color w:val="000000"/>
                <w:kern w:val="0"/>
                <w:sz w:val="24"/>
                <w:szCs w:val="24"/>
                <w:lang w:bidi="ar"/>
              </w:rPr>
              <w:t>65岁以上老年人和0-36个月儿童中医药健康管理率达到65%。</w:t>
            </w:r>
          </w:p>
        </w:tc>
      </w:tr>
      <w:tr>
        <w:tblPrEx>
          <w:tblLayout w:type="fixed"/>
          <w:tblCellMar>
            <w:top w:w="15" w:type="dxa"/>
            <w:left w:w="15" w:type="dxa"/>
            <w:bottom w:w="15" w:type="dxa"/>
            <w:right w:w="15" w:type="dxa"/>
          </w:tblCellMar>
        </w:tblPrEx>
        <w:trPr>
          <w:trHeight w:val="37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3.4慢病管理服务★</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【C】</w:t>
            </w:r>
          </w:p>
        </w:tc>
      </w:tr>
      <w:tr>
        <w:tblPrEx>
          <w:tblLayout w:type="fixed"/>
          <w:tblCellMar>
            <w:top w:w="15" w:type="dxa"/>
            <w:left w:w="15" w:type="dxa"/>
            <w:bottom w:w="15" w:type="dxa"/>
            <w:right w:w="15" w:type="dxa"/>
          </w:tblCellMar>
        </w:tblPrEx>
        <w:trPr>
          <w:trHeight w:val="584"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1.根据《广东省紧密型县域医疗卫生共同体慢病管理中心运行指南》，建立健全慢病管理制度，总医院设置专职慢病服务管理部门，职责明确。</w:t>
            </w:r>
          </w:p>
        </w:tc>
      </w:tr>
      <w:tr>
        <w:tblPrEx>
          <w:tblLayout w:type="fixed"/>
          <w:tblCellMar>
            <w:top w:w="15" w:type="dxa"/>
            <w:left w:w="15" w:type="dxa"/>
            <w:bottom w:w="15" w:type="dxa"/>
            <w:right w:w="15" w:type="dxa"/>
          </w:tblCellMar>
        </w:tblPrEx>
        <w:trPr>
          <w:trHeight w:val="92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2.以分院为单位，以总医院专科医生为主要技术支撑，以分院全科医生服务团队为依托，乡村医生兼任健康指导员为延伸组成团队成员，建立县域医共体慢性病管理团队</w:t>
            </w:r>
            <w:r>
              <w:rPr>
                <w:rFonts w:hint="default" w:ascii="Times New Roman" w:hAnsi="Times New Roman" w:eastAsia="仿宋_GB2312" w:cs="Times New Roman"/>
                <w:color w:val="000000"/>
                <w:kern w:val="0"/>
                <w:sz w:val="24"/>
                <w:szCs w:val="24"/>
                <w:lang w:eastAsia="zh-CN" w:bidi="ar"/>
              </w:rPr>
              <w:t>，形成“总院全科</w:t>
            </w:r>
            <w:r>
              <w:rPr>
                <w:rFonts w:hint="default" w:ascii="Times New Roman" w:hAnsi="Times New Roman" w:eastAsia="仿宋_GB2312" w:cs="Times New Roman"/>
                <w:color w:val="000000"/>
                <w:kern w:val="0"/>
                <w:sz w:val="24"/>
                <w:szCs w:val="24"/>
                <w:lang w:val="en-US" w:eastAsia="zh-CN" w:bidi="ar"/>
              </w:rPr>
              <w:t>+专科</w:t>
            </w:r>
            <w:r>
              <w:rPr>
                <w:rFonts w:hint="default" w:ascii="Times New Roman" w:hAnsi="Times New Roman" w:eastAsia="仿宋_GB2312" w:cs="Times New Roman"/>
                <w:color w:val="000000"/>
                <w:kern w:val="0"/>
                <w:sz w:val="24"/>
                <w:szCs w:val="24"/>
                <w:lang w:eastAsia="zh-CN" w:bidi="ar"/>
              </w:rPr>
              <w:t>”团队协同进行慢病管理的机制</w:t>
            </w:r>
            <w:r>
              <w:rPr>
                <w:rFonts w:hint="default" w:ascii="Times New Roman" w:hAnsi="Times New Roman" w:eastAsia="仿宋_GB2312" w:cs="Times New Roman"/>
                <w:color w:val="000000"/>
                <w:kern w:val="0"/>
                <w:sz w:val="24"/>
                <w:szCs w:val="24"/>
                <w:lang w:bidi="ar"/>
              </w:rPr>
              <w:t>。</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【Ｂ】符合“Ｃ”，并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1.慢病服务管理部门及</w:t>
            </w:r>
            <w:r>
              <w:rPr>
                <w:rFonts w:hint="default" w:ascii="Times New Roman" w:hAnsi="Times New Roman" w:eastAsia="仿宋_GB2312" w:cs="Times New Roman"/>
                <w:color w:val="000000"/>
                <w:kern w:val="0"/>
                <w:sz w:val="24"/>
                <w:szCs w:val="24"/>
                <w:lang w:eastAsia="zh-CN" w:bidi="ar"/>
              </w:rPr>
              <w:t>专科</w:t>
            </w:r>
            <w:r>
              <w:rPr>
                <w:rFonts w:hint="default" w:ascii="Times New Roman" w:hAnsi="Times New Roman" w:eastAsia="仿宋_GB2312" w:cs="Times New Roman"/>
                <w:color w:val="000000"/>
                <w:kern w:val="0"/>
                <w:sz w:val="24"/>
                <w:szCs w:val="24"/>
                <w:lang w:val="en-US" w:eastAsia="zh-CN" w:bidi="ar"/>
              </w:rPr>
              <w:t>+基层全科</w:t>
            </w:r>
            <w:r>
              <w:rPr>
                <w:rFonts w:hint="default" w:ascii="Times New Roman" w:hAnsi="Times New Roman" w:eastAsia="仿宋_GB2312" w:cs="Times New Roman"/>
                <w:color w:val="000000"/>
                <w:kern w:val="0"/>
                <w:sz w:val="24"/>
                <w:szCs w:val="24"/>
                <w:lang w:bidi="ar"/>
              </w:rPr>
              <w:t>慢性病管理团队有效运行。</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2.县域医共体内</w:t>
            </w:r>
            <w:r>
              <w:rPr>
                <w:rFonts w:hint="default" w:ascii="Times New Roman" w:hAnsi="Times New Roman" w:eastAsia="仿宋_GB2312" w:cs="Times New Roman"/>
                <w:color w:val="000000"/>
                <w:kern w:val="0"/>
                <w:sz w:val="24"/>
                <w:szCs w:val="24"/>
                <w:lang w:eastAsia="zh-CN" w:bidi="ar"/>
              </w:rPr>
              <w:t>落实</w:t>
            </w:r>
            <w:r>
              <w:rPr>
                <w:rFonts w:hint="default" w:ascii="Times New Roman" w:hAnsi="Times New Roman" w:eastAsia="仿宋_GB2312" w:cs="Times New Roman"/>
                <w:color w:val="000000"/>
                <w:kern w:val="0"/>
                <w:sz w:val="24"/>
                <w:szCs w:val="24"/>
                <w:lang w:bidi="ar"/>
              </w:rPr>
              <w:t>对慢性病患者，按病种及管理等级分标、分片进行</w:t>
            </w:r>
            <w:r>
              <w:rPr>
                <w:rFonts w:hint="default" w:ascii="Times New Roman" w:hAnsi="Times New Roman" w:eastAsia="仿宋_GB2312" w:cs="Times New Roman"/>
                <w:color w:val="000000"/>
                <w:kern w:val="0"/>
                <w:sz w:val="24"/>
                <w:szCs w:val="24"/>
                <w:lang w:eastAsia="zh-CN" w:bidi="ar"/>
              </w:rPr>
              <w:t>协同</w:t>
            </w:r>
            <w:r>
              <w:rPr>
                <w:rFonts w:hint="default" w:ascii="Times New Roman" w:hAnsi="Times New Roman" w:eastAsia="仿宋_GB2312" w:cs="Times New Roman"/>
                <w:color w:val="000000"/>
                <w:kern w:val="0"/>
                <w:sz w:val="24"/>
                <w:szCs w:val="24"/>
                <w:lang w:bidi="ar"/>
              </w:rPr>
              <w:t>管理。</w:t>
            </w:r>
          </w:p>
        </w:tc>
      </w:tr>
      <w:tr>
        <w:tblPrEx>
          <w:tblLayout w:type="fixed"/>
          <w:tblCellMar>
            <w:top w:w="15" w:type="dxa"/>
            <w:left w:w="15" w:type="dxa"/>
            <w:bottom w:w="15" w:type="dxa"/>
            <w:right w:w="15" w:type="dxa"/>
          </w:tblCellMar>
        </w:tblPrEx>
        <w:trPr>
          <w:trHeight w:val="578"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0" w:lineRule="atLeast"/>
              <w:jc w:val="left"/>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3.建立和完善慢病防治网络，重构分级诊疗、双向转诊的就医秩序，促进不同层级医院功能归位。</w:t>
            </w:r>
          </w:p>
        </w:tc>
      </w:tr>
      <w:tr>
        <w:tblPrEx>
          <w:tblLayout w:type="fixed"/>
          <w:tblCellMar>
            <w:top w:w="15" w:type="dxa"/>
            <w:left w:w="15" w:type="dxa"/>
            <w:bottom w:w="15" w:type="dxa"/>
            <w:right w:w="15" w:type="dxa"/>
          </w:tblCellMar>
        </w:tblPrEx>
        <w:trPr>
          <w:trHeight w:val="323"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【A】符合“B”，并</w:t>
            </w:r>
          </w:p>
        </w:tc>
      </w:tr>
      <w:tr>
        <w:tblPrEx>
          <w:tblLayout w:type="fixed"/>
          <w:tblCellMar>
            <w:top w:w="15" w:type="dxa"/>
            <w:left w:w="15" w:type="dxa"/>
            <w:bottom w:w="15" w:type="dxa"/>
            <w:right w:w="15" w:type="dxa"/>
          </w:tblCellMar>
        </w:tblPrEx>
        <w:trPr>
          <w:trHeight w:val="59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1.医共体内职能部门定期开展慢性病管理督查、</w:t>
            </w:r>
            <w:r>
              <w:rPr>
                <w:rFonts w:hint="default" w:ascii="Times New Roman" w:hAnsi="Times New Roman" w:eastAsia="仿宋_GB2312" w:cs="Times New Roman"/>
                <w:color w:val="auto"/>
                <w:kern w:val="0"/>
                <w:sz w:val="24"/>
                <w:szCs w:val="24"/>
                <w:lang w:eastAsia="zh-CN" w:bidi="ar"/>
              </w:rPr>
              <w:t>效果</w:t>
            </w:r>
            <w:r>
              <w:rPr>
                <w:rFonts w:hint="default" w:ascii="Times New Roman" w:hAnsi="Times New Roman" w:eastAsia="仿宋_GB2312" w:cs="Times New Roman"/>
                <w:color w:val="auto"/>
                <w:kern w:val="0"/>
                <w:sz w:val="24"/>
                <w:szCs w:val="24"/>
                <w:lang w:bidi="ar"/>
              </w:rPr>
              <w:t>评价以及持续改进工作。</w:t>
            </w:r>
          </w:p>
        </w:tc>
      </w:tr>
      <w:tr>
        <w:tblPrEx>
          <w:tblLayout w:type="fixed"/>
          <w:tblCellMar>
            <w:top w:w="15" w:type="dxa"/>
            <w:left w:w="15" w:type="dxa"/>
            <w:bottom w:w="15" w:type="dxa"/>
            <w:right w:w="15" w:type="dxa"/>
          </w:tblCellMar>
        </w:tblPrEx>
        <w:trPr>
          <w:trHeight w:val="286" w:hRule="atLeast"/>
        </w:trPr>
        <w:tc>
          <w:tcPr>
            <w:tcW w:w="10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kern w:val="0"/>
                <w:sz w:val="24"/>
                <w:szCs w:val="24"/>
                <w:u w:val="none"/>
                <w:lang w:bidi="ar"/>
              </w:rPr>
            </w:pPr>
            <w:r>
              <w:rPr>
                <w:rFonts w:hint="default" w:ascii="Times New Roman" w:hAnsi="Times New Roman" w:eastAsia="仿宋_GB2312" w:cs="Times New Roman"/>
                <w:color w:val="auto"/>
                <w:kern w:val="0"/>
                <w:sz w:val="24"/>
                <w:szCs w:val="24"/>
                <w:u w:val="none"/>
                <w:lang w:bidi="ar"/>
              </w:rPr>
              <w:t>四、利益共同体</w:t>
            </w:r>
          </w:p>
          <w:p>
            <w:pPr>
              <w:widowControl/>
              <w:spacing w:line="0" w:lineRule="atLeast"/>
              <w:jc w:val="center"/>
              <w:rPr>
                <w:rFonts w:hint="default" w:ascii="Times New Roman" w:hAnsi="Times New Roman" w:eastAsia="仿宋_GB2312" w:cs="Times New Roman"/>
                <w:color w:val="auto"/>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u w:val="none"/>
              </w:rPr>
              <w:t>4.1</w:t>
            </w:r>
            <w:r>
              <w:rPr>
                <w:rFonts w:hint="default" w:ascii="Times New Roman" w:hAnsi="Times New Roman" w:eastAsia="仿宋_GB2312" w:cs="Times New Roman"/>
                <w:color w:val="auto"/>
                <w:kern w:val="0"/>
                <w:sz w:val="24"/>
                <w:szCs w:val="24"/>
                <w:u w:val="none"/>
                <w:lang w:bidi="ar"/>
              </w:rPr>
              <w:t>财政投入统一管理</w:t>
            </w:r>
            <w:r>
              <w:rPr>
                <w:rFonts w:hint="default" w:ascii="Times New Roman" w:hAnsi="Times New Roman" w:eastAsia="仿宋_GB2312" w:cs="Times New Roman"/>
                <w:color w:val="auto"/>
                <w:kern w:val="0"/>
                <w:sz w:val="24"/>
                <w:szCs w:val="24"/>
                <w:lang w:bidi="ar"/>
              </w:rPr>
              <w:t>★</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【C】</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auto"/>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rPr>
              <w:t>1.县级财政对县域医共体内医疗卫生机构财政投入有预算，有制度安排。</w:t>
            </w:r>
          </w:p>
        </w:tc>
      </w:tr>
      <w:tr>
        <w:tblPrEx>
          <w:tblLayout w:type="fixed"/>
          <w:tblCellMar>
            <w:top w:w="15" w:type="dxa"/>
            <w:left w:w="15" w:type="dxa"/>
            <w:bottom w:w="15" w:type="dxa"/>
            <w:right w:w="15" w:type="dxa"/>
          </w:tblCellMar>
        </w:tblPrEx>
        <w:trPr>
          <w:trHeight w:val="679"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2.基层的基本公共卫生经费依据县域医共体统一考核结果进行拨付有制度安排。</w:t>
            </w:r>
          </w:p>
        </w:tc>
      </w:tr>
      <w:tr>
        <w:tblPrEx>
          <w:tblLayout w:type="fixed"/>
          <w:tblCellMar>
            <w:top w:w="15" w:type="dxa"/>
            <w:left w:w="15" w:type="dxa"/>
            <w:bottom w:w="15" w:type="dxa"/>
            <w:right w:w="15" w:type="dxa"/>
          </w:tblCellMar>
        </w:tblPrEx>
        <w:trPr>
          <w:trHeight w:val="363" w:hRule="atLeast"/>
        </w:trPr>
        <w:tc>
          <w:tcPr>
            <w:tcW w:w="1085" w:type="dxa"/>
            <w:vMerge w:val="continue"/>
            <w:tcBorders>
              <w:top w:val="single" w:color="000000" w:sz="4" w:space="0"/>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3.对基层医疗卫生机构</w:t>
            </w:r>
            <w:r>
              <w:rPr>
                <w:rFonts w:hint="default" w:ascii="Times New Roman" w:hAnsi="Times New Roman" w:eastAsia="仿宋_GB2312" w:cs="Times New Roman"/>
                <w:color w:val="auto"/>
                <w:kern w:val="0"/>
                <w:sz w:val="24"/>
                <w:szCs w:val="24"/>
                <w:lang w:eastAsia="zh-CN" w:bidi="ar"/>
              </w:rPr>
              <w:t>落实</w:t>
            </w:r>
            <w:r>
              <w:rPr>
                <w:rFonts w:hint="default" w:ascii="Times New Roman" w:hAnsi="Times New Roman" w:eastAsia="仿宋_GB2312" w:cs="Times New Roman"/>
                <w:color w:val="auto"/>
                <w:kern w:val="0"/>
                <w:sz w:val="24"/>
                <w:szCs w:val="24"/>
                <w:lang w:bidi="ar"/>
              </w:rPr>
              <w:t>“一类财政供给、二类绩效管理”</w:t>
            </w:r>
            <w:r>
              <w:rPr>
                <w:rFonts w:hint="default" w:ascii="Times New Roman" w:hAnsi="Times New Roman" w:eastAsia="仿宋_GB2312" w:cs="Times New Roman"/>
                <w:color w:val="auto"/>
                <w:kern w:val="0"/>
                <w:sz w:val="24"/>
                <w:szCs w:val="24"/>
                <w:lang w:eastAsia="zh-CN" w:bidi="ar"/>
              </w:rPr>
              <w:t>政策</w:t>
            </w:r>
            <w:r>
              <w:rPr>
                <w:rFonts w:hint="default" w:ascii="Times New Roman" w:hAnsi="Times New Roman" w:eastAsia="仿宋_GB2312" w:cs="Times New Roman"/>
                <w:color w:val="auto"/>
                <w:kern w:val="0"/>
                <w:sz w:val="24"/>
                <w:szCs w:val="24"/>
                <w:lang w:bidi="ar"/>
              </w:rPr>
              <w:t>。</w:t>
            </w:r>
          </w:p>
        </w:tc>
      </w:tr>
      <w:tr>
        <w:tblPrEx>
          <w:tblLayout w:type="fixed"/>
          <w:tblCellMar>
            <w:top w:w="15" w:type="dxa"/>
            <w:left w:w="15" w:type="dxa"/>
            <w:bottom w:w="15" w:type="dxa"/>
            <w:right w:w="15" w:type="dxa"/>
          </w:tblCellMar>
        </w:tblPrEx>
        <w:trPr>
          <w:trHeight w:val="286" w:hRule="atLeast"/>
        </w:trPr>
        <w:tc>
          <w:tcPr>
            <w:tcW w:w="1085"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【Ｂ】符合“Ｃ”，并</w:t>
            </w:r>
          </w:p>
        </w:tc>
      </w:tr>
      <w:tr>
        <w:tblPrEx>
          <w:tblLayout w:type="fixed"/>
          <w:tblCellMar>
            <w:top w:w="15" w:type="dxa"/>
            <w:left w:w="15" w:type="dxa"/>
            <w:bottom w:w="15" w:type="dxa"/>
            <w:right w:w="15" w:type="dxa"/>
          </w:tblCellMar>
        </w:tblPrEx>
        <w:trPr>
          <w:trHeight w:val="927" w:hRule="atLeast"/>
        </w:trPr>
        <w:tc>
          <w:tcPr>
            <w:tcW w:w="1085"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rPr>
              <w:t>1.县级财政对县域医共体内医疗卫生机构财政投入</w:t>
            </w:r>
            <w:r>
              <w:rPr>
                <w:rFonts w:hint="default" w:ascii="Times New Roman" w:hAnsi="Times New Roman" w:eastAsia="仿宋_GB2312" w:cs="Times New Roman"/>
                <w:color w:val="auto"/>
                <w:kern w:val="0"/>
                <w:sz w:val="24"/>
                <w:szCs w:val="24"/>
                <w:lang w:bidi="ar"/>
              </w:rPr>
              <w:t>依据公立医院和基层医疗卫生机构的补助政策按原渠道足额安排县域医共体成员单位的补助资金</w:t>
            </w:r>
            <w:r>
              <w:rPr>
                <w:rFonts w:hint="default" w:ascii="Times New Roman" w:hAnsi="Times New Roman" w:eastAsia="仿宋_GB2312" w:cs="Times New Roman"/>
                <w:color w:val="auto"/>
                <w:kern w:val="0"/>
                <w:sz w:val="24"/>
                <w:szCs w:val="24"/>
              </w:rPr>
              <w:t>。</w:t>
            </w:r>
          </w:p>
        </w:tc>
      </w:tr>
      <w:tr>
        <w:tblPrEx>
          <w:tblLayout w:type="fixed"/>
          <w:tblCellMar>
            <w:top w:w="15" w:type="dxa"/>
            <w:left w:w="15" w:type="dxa"/>
            <w:bottom w:w="15" w:type="dxa"/>
            <w:right w:w="15" w:type="dxa"/>
          </w:tblCellMar>
        </w:tblPrEx>
        <w:trPr>
          <w:trHeight w:val="286" w:hRule="atLeast"/>
        </w:trPr>
        <w:tc>
          <w:tcPr>
            <w:tcW w:w="1085"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2.基层的基本公共卫生经费依据县域医共体统一考核结果进行拨付。</w:t>
            </w:r>
          </w:p>
        </w:tc>
      </w:tr>
      <w:tr>
        <w:tblPrEx>
          <w:tblLayout w:type="fixed"/>
          <w:tblCellMar>
            <w:top w:w="15" w:type="dxa"/>
            <w:left w:w="15" w:type="dxa"/>
            <w:bottom w:w="15" w:type="dxa"/>
            <w:right w:w="15" w:type="dxa"/>
          </w:tblCellMar>
        </w:tblPrEx>
        <w:trPr>
          <w:trHeight w:val="286" w:hRule="atLeast"/>
        </w:trPr>
        <w:tc>
          <w:tcPr>
            <w:tcW w:w="1085"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【A】符合“B”，并</w:t>
            </w:r>
          </w:p>
        </w:tc>
      </w:tr>
      <w:tr>
        <w:tblPrEx>
          <w:tblLayout w:type="fixed"/>
          <w:tblCellMar>
            <w:top w:w="15" w:type="dxa"/>
            <w:left w:w="15" w:type="dxa"/>
            <w:bottom w:w="15" w:type="dxa"/>
            <w:right w:w="15" w:type="dxa"/>
          </w:tblCellMar>
        </w:tblPrEx>
        <w:trPr>
          <w:trHeight w:val="286" w:hRule="atLeast"/>
        </w:trPr>
        <w:tc>
          <w:tcPr>
            <w:tcW w:w="1085" w:type="dxa"/>
            <w:vMerge w:val="continue"/>
            <w:tcBorders>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1.基本公共卫生服务经费由县域医共体统筹管理和使用。</w:t>
            </w:r>
          </w:p>
        </w:tc>
      </w:tr>
      <w:tr>
        <w:tblPrEx>
          <w:tblLayout w:type="fixed"/>
          <w:tblCellMar>
            <w:top w:w="15" w:type="dxa"/>
            <w:left w:w="15" w:type="dxa"/>
            <w:bottom w:w="15" w:type="dxa"/>
            <w:right w:w="15" w:type="dxa"/>
          </w:tblCellMar>
        </w:tblPrEx>
        <w:trPr>
          <w:trHeight w:val="333" w:hRule="atLeast"/>
        </w:trPr>
        <w:tc>
          <w:tcPr>
            <w:tcW w:w="10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auto"/>
                <w:kern w:val="0"/>
                <w:sz w:val="24"/>
                <w:szCs w:val="24"/>
                <w:lang w:bidi="ar"/>
              </w:rPr>
              <w:t>五、运营成效</w:t>
            </w: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5.1社会效益★</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【C】</w:t>
            </w:r>
          </w:p>
        </w:tc>
      </w:tr>
      <w:tr>
        <w:tblPrEx>
          <w:tblLayout w:type="fixed"/>
          <w:tblCellMar>
            <w:top w:w="15" w:type="dxa"/>
            <w:left w:w="15" w:type="dxa"/>
            <w:bottom w:w="15" w:type="dxa"/>
            <w:right w:w="15" w:type="dxa"/>
          </w:tblCellMar>
        </w:tblPrEx>
        <w:trPr>
          <w:trHeight w:val="580"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1.总医院有专职（兼职）部门开展满意度调查，工作制度健全，并定期开展调查。</w:t>
            </w:r>
          </w:p>
        </w:tc>
      </w:tr>
      <w:tr>
        <w:tblPrEx>
          <w:tblLayout w:type="fixed"/>
          <w:tblCellMar>
            <w:top w:w="15" w:type="dxa"/>
            <w:left w:w="15" w:type="dxa"/>
            <w:bottom w:w="15" w:type="dxa"/>
            <w:right w:w="15" w:type="dxa"/>
          </w:tblCellMar>
        </w:tblPrEx>
        <w:trPr>
          <w:trHeight w:val="317"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2.患者（住院、门诊）满意度较上一年提升</w:t>
            </w:r>
            <w:r>
              <w:rPr>
                <w:rFonts w:hint="default" w:ascii="Times New Roman" w:hAnsi="Times New Roman" w:eastAsia="仿宋_GB2312" w:cs="Times New Roman"/>
                <w:color w:val="auto"/>
                <w:kern w:val="0"/>
                <w:sz w:val="24"/>
                <w:szCs w:val="24"/>
                <w:lang w:eastAsia="zh-CN" w:bidi="ar"/>
              </w:rPr>
              <w:t>（满意度</w:t>
            </w:r>
            <w:r>
              <w:rPr>
                <w:rFonts w:hint="default" w:ascii="Times New Roman" w:hAnsi="Times New Roman" w:eastAsia="仿宋_GB2312" w:cs="Times New Roman"/>
                <w:i w:val="0"/>
                <w:caps w:val="0"/>
                <w:color w:val="auto"/>
                <w:spacing w:val="0"/>
                <w:sz w:val="24"/>
                <w:szCs w:val="24"/>
                <w:shd w:val="clear" w:color="auto" w:fill="FFFFFF"/>
              </w:rPr>
              <w:t>&lt;</w:t>
            </w:r>
            <w:r>
              <w:rPr>
                <w:rFonts w:hint="default" w:ascii="Times New Roman" w:hAnsi="Times New Roman" w:eastAsia="仿宋_GB2312" w:cs="Times New Roman"/>
                <w:color w:val="auto"/>
                <w:kern w:val="0"/>
                <w:sz w:val="24"/>
                <w:szCs w:val="24"/>
                <w:lang w:val="en-US" w:eastAsia="zh-CN" w:bidi="ar"/>
              </w:rPr>
              <w:t>90%</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3.职工满意度较上一年提升</w:t>
            </w:r>
            <w:r>
              <w:rPr>
                <w:rFonts w:hint="default" w:ascii="Times New Roman" w:hAnsi="Times New Roman" w:eastAsia="仿宋_GB2312" w:cs="Times New Roman"/>
                <w:color w:val="auto"/>
                <w:kern w:val="0"/>
                <w:sz w:val="24"/>
                <w:szCs w:val="24"/>
                <w:lang w:eastAsia="zh-CN" w:bidi="ar"/>
              </w:rPr>
              <w:t>（满意度</w:t>
            </w:r>
            <w:r>
              <w:rPr>
                <w:rFonts w:hint="default" w:ascii="Times New Roman" w:hAnsi="Times New Roman" w:eastAsia="仿宋_GB2312" w:cs="Times New Roman"/>
                <w:i w:val="0"/>
                <w:caps w:val="0"/>
                <w:color w:val="auto"/>
                <w:spacing w:val="0"/>
                <w:sz w:val="24"/>
                <w:szCs w:val="24"/>
                <w:shd w:val="clear" w:color="auto" w:fill="FFFFFF"/>
              </w:rPr>
              <w:t>&lt;</w:t>
            </w:r>
            <w:r>
              <w:rPr>
                <w:rFonts w:hint="default" w:ascii="Times New Roman" w:hAnsi="Times New Roman" w:eastAsia="仿宋_GB2312" w:cs="Times New Roman"/>
                <w:color w:val="auto"/>
                <w:kern w:val="0"/>
                <w:sz w:val="24"/>
                <w:szCs w:val="24"/>
                <w:lang w:val="en-US" w:eastAsia="zh-CN" w:bidi="ar"/>
              </w:rPr>
              <w:t>90%</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【Ｂ】符合“Ｃ”，并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1.根据满意度结果</w:t>
            </w:r>
            <w:r>
              <w:rPr>
                <w:rFonts w:hint="default" w:ascii="Times New Roman" w:hAnsi="Times New Roman" w:eastAsia="仿宋_GB2312" w:cs="Times New Roman"/>
                <w:color w:val="auto"/>
                <w:kern w:val="0"/>
                <w:sz w:val="24"/>
                <w:szCs w:val="24"/>
                <w:lang w:eastAsia="zh-CN" w:bidi="ar"/>
              </w:rPr>
              <w:t>有</w:t>
            </w:r>
            <w:r>
              <w:rPr>
                <w:rFonts w:hint="default" w:ascii="Times New Roman" w:hAnsi="Times New Roman" w:eastAsia="仿宋_GB2312" w:cs="Times New Roman"/>
                <w:color w:val="auto"/>
                <w:kern w:val="0"/>
                <w:sz w:val="24"/>
                <w:szCs w:val="24"/>
                <w:lang w:bidi="ar"/>
              </w:rPr>
              <w:t>分析、</w:t>
            </w:r>
            <w:r>
              <w:rPr>
                <w:rFonts w:hint="default" w:ascii="Times New Roman" w:hAnsi="Times New Roman" w:eastAsia="仿宋_GB2312" w:cs="Times New Roman"/>
                <w:color w:val="auto"/>
                <w:kern w:val="0"/>
                <w:sz w:val="24"/>
                <w:szCs w:val="24"/>
                <w:lang w:eastAsia="zh-CN" w:bidi="ar"/>
              </w:rPr>
              <w:t>有</w:t>
            </w:r>
            <w:r>
              <w:rPr>
                <w:rFonts w:hint="default" w:ascii="Times New Roman" w:hAnsi="Times New Roman" w:eastAsia="仿宋_GB2312" w:cs="Times New Roman"/>
                <w:color w:val="auto"/>
                <w:kern w:val="0"/>
                <w:sz w:val="24"/>
                <w:szCs w:val="24"/>
                <w:lang w:bidi="ar"/>
              </w:rPr>
              <w:t>反馈</w:t>
            </w:r>
            <w:r>
              <w:rPr>
                <w:rFonts w:hint="default" w:ascii="Times New Roman" w:hAnsi="Times New Roman" w:eastAsia="仿宋_GB2312" w:cs="Times New Roman"/>
                <w:color w:val="auto"/>
                <w:kern w:val="0"/>
                <w:sz w:val="24"/>
                <w:szCs w:val="24"/>
                <w:lang w:eastAsia="zh-CN" w:bidi="ar"/>
              </w:rPr>
              <w:t>、有</w:t>
            </w:r>
            <w:r>
              <w:rPr>
                <w:rFonts w:hint="default" w:ascii="Times New Roman" w:hAnsi="Times New Roman" w:eastAsia="仿宋_GB2312" w:cs="Times New Roman"/>
                <w:color w:val="auto"/>
                <w:kern w:val="0"/>
                <w:sz w:val="24"/>
                <w:szCs w:val="24"/>
                <w:lang w:bidi="ar"/>
              </w:rPr>
              <w:t>整改。</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【A】符合“B”，并</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1.患者（住院、门诊）满意度≥90%。</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2.职工满意度≥90%。</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3.持续改进并</w:t>
            </w:r>
            <w:r>
              <w:rPr>
                <w:rFonts w:hint="default" w:ascii="Times New Roman" w:hAnsi="Times New Roman" w:eastAsia="仿宋_GB2312" w:cs="Times New Roman"/>
                <w:color w:val="auto"/>
                <w:kern w:val="0"/>
                <w:sz w:val="24"/>
                <w:szCs w:val="24"/>
                <w:lang w:eastAsia="zh-CN" w:bidi="ar"/>
              </w:rPr>
              <w:t>逐年</w:t>
            </w:r>
            <w:r>
              <w:rPr>
                <w:rFonts w:hint="default" w:ascii="Times New Roman" w:hAnsi="Times New Roman" w:eastAsia="仿宋_GB2312" w:cs="Times New Roman"/>
                <w:color w:val="auto"/>
                <w:kern w:val="0"/>
                <w:sz w:val="24"/>
                <w:szCs w:val="24"/>
                <w:lang w:bidi="ar"/>
              </w:rPr>
              <w:t>有成效。</w:t>
            </w:r>
          </w:p>
        </w:tc>
      </w:tr>
      <w:tr>
        <w:tblPrEx>
          <w:tblLayout w:type="fixed"/>
          <w:tblCellMar>
            <w:top w:w="15" w:type="dxa"/>
            <w:left w:w="15" w:type="dxa"/>
            <w:bottom w:w="15" w:type="dxa"/>
            <w:right w:w="15" w:type="dxa"/>
          </w:tblCellMar>
        </w:tblPrEx>
        <w:trPr>
          <w:trHeight w:val="317"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5.2运行结构优化效益★</w:t>
            </w: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【C】</w:t>
            </w:r>
          </w:p>
        </w:tc>
      </w:tr>
      <w:tr>
        <w:tblPrEx>
          <w:tblLayout w:type="fixed"/>
          <w:tblCellMar>
            <w:top w:w="15" w:type="dxa"/>
            <w:left w:w="15" w:type="dxa"/>
            <w:bottom w:w="15" w:type="dxa"/>
            <w:right w:w="15" w:type="dxa"/>
          </w:tblCellMar>
        </w:tblPrEx>
        <w:trPr>
          <w:trHeight w:val="348" w:hRule="atLeast"/>
        </w:trPr>
        <w:tc>
          <w:tcPr>
            <w:tcW w:w="10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1.县级医院人员经费占业务支出比例较上年上升。</w:t>
            </w:r>
          </w:p>
        </w:tc>
      </w:tr>
      <w:tr>
        <w:tblPrEx>
          <w:tblLayout w:type="fixed"/>
          <w:tblCellMar>
            <w:top w:w="15" w:type="dxa"/>
            <w:left w:w="15" w:type="dxa"/>
            <w:bottom w:w="15" w:type="dxa"/>
            <w:right w:w="15" w:type="dxa"/>
          </w:tblCellMar>
        </w:tblPrEx>
        <w:trPr>
          <w:trHeight w:val="286" w:hRule="atLeast"/>
        </w:trPr>
        <w:tc>
          <w:tcPr>
            <w:tcW w:w="1085" w:type="dxa"/>
            <w:vMerge w:val="continue"/>
            <w:tcBorders>
              <w:top w:val="single" w:color="000000" w:sz="4" w:space="0"/>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restart"/>
            <w:tcBorders>
              <w:top w:val="single" w:color="000000" w:sz="4" w:space="0"/>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2.县级医院技术劳务性收入占医疗收入比例较上年上升。</w:t>
            </w:r>
          </w:p>
        </w:tc>
      </w:tr>
      <w:tr>
        <w:tblPrEx>
          <w:tblLayout w:type="fixed"/>
          <w:tblCellMar>
            <w:top w:w="15" w:type="dxa"/>
            <w:left w:w="15" w:type="dxa"/>
            <w:bottom w:w="15" w:type="dxa"/>
            <w:right w:w="15" w:type="dxa"/>
          </w:tblCellMar>
        </w:tblPrEx>
        <w:trPr>
          <w:trHeight w:val="286" w:hRule="atLeast"/>
        </w:trPr>
        <w:tc>
          <w:tcPr>
            <w:tcW w:w="1085"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3.基层医疗机构与县级医院人均薪酬比较上年上升。</w:t>
            </w:r>
          </w:p>
        </w:tc>
      </w:tr>
      <w:tr>
        <w:tblPrEx>
          <w:tblLayout w:type="fixed"/>
          <w:tblCellMar>
            <w:top w:w="15" w:type="dxa"/>
            <w:left w:w="15" w:type="dxa"/>
            <w:bottom w:w="15" w:type="dxa"/>
            <w:right w:w="15" w:type="dxa"/>
          </w:tblCellMar>
        </w:tblPrEx>
        <w:trPr>
          <w:trHeight w:val="286" w:hRule="atLeast"/>
        </w:trPr>
        <w:tc>
          <w:tcPr>
            <w:tcW w:w="1085"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4.基层医疗机构人员经费占业务支出比例较上年上升。</w:t>
            </w:r>
          </w:p>
        </w:tc>
      </w:tr>
      <w:tr>
        <w:tblPrEx>
          <w:tblLayout w:type="fixed"/>
          <w:tblCellMar>
            <w:top w:w="15" w:type="dxa"/>
            <w:left w:w="15" w:type="dxa"/>
            <w:bottom w:w="15" w:type="dxa"/>
            <w:right w:w="15" w:type="dxa"/>
          </w:tblCellMar>
        </w:tblPrEx>
        <w:trPr>
          <w:trHeight w:val="286" w:hRule="atLeast"/>
        </w:trPr>
        <w:tc>
          <w:tcPr>
            <w:tcW w:w="1085"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5.基层医疗机构技术劳务性收入占医疗收入的比例较上年上升。</w:t>
            </w:r>
          </w:p>
        </w:tc>
      </w:tr>
      <w:tr>
        <w:tblPrEx>
          <w:tblLayout w:type="fixed"/>
          <w:tblCellMar>
            <w:top w:w="15" w:type="dxa"/>
            <w:left w:w="15" w:type="dxa"/>
            <w:bottom w:w="15" w:type="dxa"/>
            <w:right w:w="15" w:type="dxa"/>
          </w:tblCellMar>
        </w:tblPrEx>
        <w:trPr>
          <w:trHeight w:val="286" w:hRule="atLeast"/>
        </w:trPr>
        <w:tc>
          <w:tcPr>
            <w:tcW w:w="1085"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【Ｂ】符合“Ｃ”，并</w:t>
            </w:r>
          </w:p>
        </w:tc>
      </w:tr>
      <w:tr>
        <w:tblPrEx>
          <w:tblLayout w:type="fixed"/>
          <w:tblCellMar>
            <w:top w:w="15" w:type="dxa"/>
            <w:left w:w="15" w:type="dxa"/>
            <w:bottom w:w="15" w:type="dxa"/>
            <w:right w:w="15" w:type="dxa"/>
          </w:tblCellMar>
        </w:tblPrEx>
        <w:trPr>
          <w:trHeight w:val="286" w:hRule="atLeast"/>
        </w:trPr>
        <w:tc>
          <w:tcPr>
            <w:tcW w:w="1085"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1.县级医院人员经费占业务支出比例≥40%。</w:t>
            </w:r>
          </w:p>
        </w:tc>
      </w:tr>
      <w:tr>
        <w:tblPrEx>
          <w:tblLayout w:type="fixed"/>
          <w:tblCellMar>
            <w:top w:w="15" w:type="dxa"/>
            <w:left w:w="15" w:type="dxa"/>
            <w:bottom w:w="15" w:type="dxa"/>
            <w:right w:w="15" w:type="dxa"/>
          </w:tblCellMar>
        </w:tblPrEx>
        <w:trPr>
          <w:trHeight w:val="286" w:hRule="atLeast"/>
        </w:trPr>
        <w:tc>
          <w:tcPr>
            <w:tcW w:w="1085"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2.县级医院技术劳务性收入占医疗收入比例≥35%。</w:t>
            </w:r>
          </w:p>
        </w:tc>
      </w:tr>
      <w:tr>
        <w:tblPrEx>
          <w:tblLayout w:type="fixed"/>
          <w:tblCellMar>
            <w:top w:w="15" w:type="dxa"/>
            <w:left w:w="15" w:type="dxa"/>
            <w:bottom w:w="15" w:type="dxa"/>
            <w:right w:w="15" w:type="dxa"/>
          </w:tblCellMar>
        </w:tblPrEx>
        <w:trPr>
          <w:trHeight w:val="286" w:hRule="atLeast"/>
        </w:trPr>
        <w:tc>
          <w:tcPr>
            <w:tcW w:w="1085"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【A】符合“B”，并</w:t>
            </w:r>
          </w:p>
        </w:tc>
      </w:tr>
      <w:tr>
        <w:tblPrEx>
          <w:tblLayout w:type="fixed"/>
          <w:tblCellMar>
            <w:top w:w="15" w:type="dxa"/>
            <w:left w:w="15" w:type="dxa"/>
            <w:bottom w:w="15" w:type="dxa"/>
            <w:right w:w="15" w:type="dxa"/>
          </w:tblCellMar>
        </w:tblPrEx>
        <w:trPr>
          <w:trHeight w:val="658" w:hRule="atLeast"/>
        </w:trPr>
        <w:tc>
          <w:tcPr>
            <w:tcW w:w="1085"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kern w:val="0"/>
                <w:sz w:val="24"/>
                <w:szCs w:val="24"/>
                <w:lang w:bidi="ar"/>
              </w:rPr>
              <w:t>1.县级医院人员经费占业务支出比例、技术劳务性收入占医疗收入比例能随国家调整而改进，符合医疗卫生健康管理服务需要。</w:t>
            </w:r>
          </w:p>
        </w:tc>
      </w:tr>
      <w:tr>
        <w:tblPrEx>
          <w:tblLayout w:type="fixed"/>
          <w:tblCellMar>
            <w:top w:w="15" w:type="dxa"/>
            <w:left w:w="15" w:type="dxa"/>
            <w:bottom w:w="15" w:type="dxa"/>
            <w:right w:w="15" w:type="dxa"/>
          </w:tblCellMar>
        </w:tblPrEx>
        <w:trPr>
          <w:trHeight w:val="700" w:hRule="atLeast"/>
        </w:trPr>
        <w:tc>
          <w:tcPr>
            <w:tcW w:w="1085" w:type="dxa"/>
            <w:vMerge w:val="continue"/>
            <w:tcBorders>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1078" w:type="dxa"/>
            <w:vMerge w:val="continue"/>
            <w:tcBorders>
              <w:left w:val="single" w:color="000000" w:sz="4" w:space="0"/>
              <w:bottom w:val="single" w:color="000000" w:sz="4" w:space="0"/>
              <w:right w:val="single" w:color="000000" w:sz="4" w:space="0"/>
            </w:tcBorders>
            <w:noWrap w:val="0"/>
            <w:vAlign w:val="center"/>
          </w:tcPr>
          <w:p>
            <w:pPr>
              <w:widowControl/>
              <w:spacing w:line="0" w:lineRule="atLeast"/>
              <w:jc w:val="center"/>
              <w:rPr>
                <w:rFonts w:hint="default" w:ascii="Times New Roman" w:hAnsi="Times New Roman" w:eastAsia="仿宋_GB2312" w:cs="Times New Roman"/>
                <w:color w:val="000000"/>
                <w:sz w:val="24"/>
                <w:szCs w:val="24"/>
              </w:rPr>
            </w:pPr>
          </w:p>
        </w:tc>
        <w:tc>
          <w:tcPr>
            <w:tcW w:w="72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textAlignment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val="en-US" w:eastAsia="zh-CN" w:bidi="ar"/>
              </w:rPr>
              <w:t>2.基层医疗机构与县级医院人均薪酬逐渐接近，相衔接（略低、持平或略高于县级医院）。</w:t>
            </w:r>
          </w:p>
        </w:tc>
      </w:tr>
    </w:tbl>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- 13 -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- 13 -</w:t>
                    </w:r>
                    <w:r>
                      <w:rPr>
                        <w:rFonts w:hint="eastAsia" w:ascii="仿宋_GB2312" w:hAnsi="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60793"/>
    <w:rsid w:val="45CA5A85"/>
    <w:rsid w:val="67A60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1"/>
    <w:qFormat/>
    <w:uiPriority w:val="0"/>
    <w:pPr>
      <w:spacing w:after="120" w:afterLines="0"/>
      <w:ind w:left="420" w:leftChars="200" w:firstLine="420" w:firstLineChars="200"/>
    </w:pPr>
    <w:rPr>
      <w:rFonts w:ascii="Calibri" w:hAnsi="Calibri" w:eastAsia="宋体" w:cs="Times New Roman"/>
      <w:szCs w:val="24"/>
      <w:lang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iPriority w:val="0"/>
    <w:pPr>
      <w:jc w:val="left"/>
    </w:pPr>
    <w:rPr>
      <w:rFonts w:ascii="Calibri" w:hAnsi="Calibri" w:eastAsia="宋体" w:cs="Times New Roman"/>
      <w:kern w:val="0"/>
      <w:sz w:val="24"/>
      <w:szCs w:val="22"/>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2020-10-10T09:51:00Z</dcterms:created>
  <dc:creator>eva</dc:creator>
  <cp:lastModifiedBy>eva</cp:lastModifiedBy>
  <dcterms:modified xsi:type="dcterms:W3CDTF">2020-10-10T09:51:47Z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