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长城小标宋体" w:hAnsi="Times New Roman" w:eastAsia="长城小标宋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长城小标宋体" w:hAnsi="Times New Roman" w:eastAsia="长城小标宋体" w:cs="Times New Roman"/>
          <w:b/>
          <w:sz w:val="44"/>
          <w:szCs w:val="44"/>
        </w:rPr>
      </w:pPr>
      <w:r>
        <w:rPr>
          <w:rFonts w:hint="eastAsia" w:ascii="长城小标宋体" w:hAnsi="Times New Roman" w:eastAsia="长城小标宋体" w:cs="Times New Roman"/>
          <w:b/>
          <w:sz w:val="44"/>
          <w:szCs w:val="44"/>
        </w:rPr>
        <w:t>规划设计标准</w:t>
      </w:r>
    </w:p>
    <w:p>
      <w:pPr>
        <w:spacing w:line="560" w:lineRule="exact"/>
        <w:jc w:val="both"/>
        <w:rPr>
          <w:rFonts w:hint="eastAsia" w:ascii="长城小标宋体" w:hAnsi="Times New Roman" w:eastAsia="长城小标宋体" w:cs="Times New Roman"/>
          <w:b/>
          <w:sz w:val="44"/>
          <w:szCs w:val="44"/>
        </w:rPr>
      </w:pPr>
    </w:p>
    <w:tbl>
      <w:tblPr>
        <w:tblStyle w:val="4"/>
        <w:tblW w:w="10980" w:type="dxa"/>
        <w:tblInd w:w="-1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4"/>
        <w:gridCol w:w="25"/>
        <w:gridCol w:w="1976"/>
        <w:gridCol w:w="306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公配类型</w:t>
            </w:r>
          </w:p>
        </w:tc>
        <w:tc>
          <w:tcPr>
            <w:tcW w:w="7926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设置标准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1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面积≤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00㎡</w:t>
            </w:r>
          </w:p>
        </w:tc>
        <w:tc>
          <w:tcPr>
            <w:tcW w:w="306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00㎡＜面积＜1000㎡</w:t>
            </w:r>
          </w:p>
        </w:tc>
        <w:tc>
          <w:tcPr>
            <w:tcW w:w="286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面积≥1000㎡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9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社区居委会、社区管理用房、便民服务站（社区服务中心）、文化活动室、党群服务中心</w:t>
            </w:r>
          </w:p>
        </w:tc>
        <w:tc>
          <w:tcPr>
            <w:tcW w:w="1976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原则上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应组合设置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306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原则应全部设置于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临街首层。如条件有限，设置于建筑物二层时，其中设置于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临街首层建筑面积应不小于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00㎡（不包含楼梯间、电梯间面积）。</w:t>
            </w:r>
          </w:p>
        </w:tc>
        <w:tc>
          <w:tcPr>
            <w:tcW w:w="286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原则应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组合设置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临街首层。如条件有限，设置于建筑物二层时，其中设置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临街首层建筑面积应不小于总面积的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%（不包含楼梯间、电梯间面积）。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社区健康服务中心</w:t>
            </w:r>
          </w:p>
        </w:tc>
        <w:tc>
          <w:tcPr>
            <w:tcW w:w="1976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原则上设置于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临街首层。</w:t>
            </w:r>
          </w:p>
        </w:tc>
        <w:tc>
          <w:tcPr>
            <w:tcW w:w="592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原则上设置于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临街首层。如条件有限，设置于建筑物二层时，其中设置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市政道路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临街首层建筑面积应不小于总面积的35%。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right="0" w:rightChars="0" w:hanging="840" w:hangingChars="3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vertAlign w:val="baseline"/>
          <w:lang w:eastAsia="zh-CN"/>
        </w:rPr>
        <w:t>备注：建设项目只设置单个社区公配物业且面积小于或等于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vertAlign w:val="baseline"/>
          <w:lang w:val="en-US" w:eastAsia="zh-CN"/>
        </w:rPr>
        <w:t>500平方米时，原则上应全部设置在市政道路临街首层。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46BC"/>
    <w:rsid w:val="6D4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2020-12-15T08:06:00Z</dcterms:created>
  <dc:creator>谭阳洋</dc:creator>
  <cp:lastModifiedBy>谭阳洋</cp:lastModifiedBy>
  <dcterms:modified xsi:type="dcterms:W3CDTF">2020-12-15T08:07:15Z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