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FFFFFF"/>
        <w:spacing w:line="520" w:lineRule="exact"/>
        <w:jc w:val="both"/>
        <w:rPr>
          <w:rFonts w:ascii="黑体" w:hAnsi="黑体" w:eastAsia="黑体"/>
          <w:sz w:val="32"/>
          <w:szCs w:val="32"/>
        </w:rPr>
      </w:pPr>
      <w:r>
        <w:rPr>
          <w:rFonts w:hint="eastAsia" w:ascii="黑体" w:hAnsi="黑体" w:eastAsia="黑体"/>
          <w:sz w:val="32"/>
          <w:szCs w:val="32"/>
        </w:rPr>
        <w:t>附件2</w:t>
      </w:r>
    </w:p>
    <w:p>
      <w:pPr>
        <w:pStyle w:val="11"/>
        <w:shd w:val="clear" w:color="auto" w:fill="FFFFFF"/>
        <w:spacing w:line="520" w:lineRule="exact"/>
        <w:jc w:val="center"/>
        <w:rPr>
          <w:rFonts w:asciiTheme="majorEastAsia" w:hAnsiTheme="majorEastAsia" w:eastAsiaTheme="majorEastAsia"/>
          <w:b/>
          <w:sz w:val="36"/>
          <w:szCs w:val="36"/>
        </w:rPr>
      </w:pPr>
    </w:p>
    <w:p>
      <w:pPr>
        <w:widowControl/>
        <w:spacing w:before="180" w:after="180" w:line="520" w:lineRule="exact"/>
        <w:jc w:val="center"/>
        <w:rPr>
          <w:rFonts w:hint="eastAsia" w:ascii="方正小标宋简体" w:hAnsi="黑体" w:eastAsia="方正小标宋简体" w:cs="黑体"/>
          <w:bCs/>
          <w:sz w:val="44"/>
          <w:szCs w:val="44"/>
        </w:rPr>
      </w:pPr>
      <w:r>
        <w:rPr>
          <w:rFonts w:hint="eastAsia" w:ascii="方正小标宋简体" w:hAnsi="黑体" w:eastAsia="方正小标宋简体" w:cs="黑体"/>
          <w:bCs/>
          <w:sz w:val="44"/>
          <w:szCs w:val="44"/>
        </w:rPr>
        <w:t>深圳市龙岗中心医院</w:t>
      </w:r>
      <w:r>
        <w:rPr>
          <w:rFonts w:hint="eastAsia" w:ascii="方正小标宋简体" w:eastAsia="方正小标宋简体" w:hAnsiTheme="majorEastAsia" w:cstheme="majorEastAsia"/>
          <w:kern w:val="0"/>
          <w:sz w:val="44"/>
          <w:szCs w:val="44"/>
          <w:lang w:eastAsia="zh-CN"/>
        </w:rPr>
        <w:t>关于委托第三方开展安全生产</w:t>
      </w:r>
      <w:r>
        <w:rPr>
          <w:rFonts w:hint="eastAsia" w:ascii="方正小标宋简体" w:eastAsia="方正小标宋简体" w:hAnsiTheme="majorEastAsia" w:cstheme="majorEastAsia"/>
          <w:kern w:val="0"/>
          <w:sz w:val="44"/>
          <w:szCs w:val="44"/>
          <w:lang w:val="en-US" w:eastAsia="zh-CN"/>
        </w:rPr>
        <w:t>标准化建设</w:t>
      </w:r>
      <w:r>
        <w:rPr>
          <w:rFonts w:hint="eastAsia" w:ascii="方正小标宋简体" w:hAnsi="黑体" w:eastAsia="方正小标宋简体" w:cs="黑体"/>
          <w:bCs/>
          <w:sz w:val="44"/>
          <w:szCs w:val="44"/>
        </w:rPr>
        <w:t>需求</w:t>
      </w:r>
    </w:p>
    <w:p>
      <w:pPr>
        <w:widowControl/>
        <w:spacing w:before="180" w:after="180" w:line="520" w:lineRule="exact"/>
        <w:jc w:val="both"/>
        <w:rPr>
          <w:rFonts w:hint="eastAsia" w:ascii="方正小标宋简体" w:hAnsi="黑体" w:eastAsia="方正小标宋简体" w:cs="黑体"/>
          <w:bCs/>
          <w:sz w:val="44"/>
          <w:szCs w:val="44"/>
        </w:rPr>
      </w:pPr>
    </w:p>
    <w:p>
      <w:pPr>
        <w:widowControl/>
        <w:spacing w:before="180" w:after="180" w:line="520" w:lineRule="exact"/>
        <w:jc w:val="both"/>
        <w:rPr>
          <w:rFonts w:ascii="黑体" w:hAnsi="黑体" w:eastAsia="黑体" w:cs="楷体"/>
          <w:sz w:val="32"/>
          <w:szCs w:val="32"/>
        </w:rPr>
      </w:pPr>
      <w:r>
        <w:rPr>
          <w:rFonts w:hint="eastAsia" w:ascii="黑体" w:hAnsi="黑体" w:eastAsia="黑体" w:cs="楷体"/>
          <w:sz w:val="32"/>
          <w:szCs w:val="32"/>
        </w:rPr>
        <w:t>一、</w:t>
      </w:r>
      <w:r>
        <w:rPr>
          <w:rFonts w:hint="eastAsia" w:ascii="黑体" w:hAnsi="黑体" w:eastAsia="黑体" w:cs="楷体"/>
          <w:sz w:val="32"/>
          <w:szCs w:val="32"/>
          <w:lang w:eastAsia="zh-CN"/>
        </w:rPr>
        <w:t>安全生产风险评估</w:t>
      </w:r>
      <w:r>
        <w:rPr>
          <w:rFonts w:hint="eastAsia" w:ascii="黑体" w:hAnsi="黑体" w:eastAsia="黑体" w:cs="楷体"/>
          <w:sz w:val="32"/>
          <w:szCs w:val="32"/>
        </w:rPr>
        <w:t>评分信息表</w:t>
      </w:r>
    </w:p>
    <w:p>
      <w:pPr>
        <w:spacing w:line="520" w:lineRule="exact"/>
        <w:ind w:left="-991"/>
        <w:jc w:val="left"/>
        <w:rPr>
          <w:rFonts w:ascii="仿宋_GB2312" w:hAnsi="仿宋" w:eastAsia="仿宋_GB2312"/>
          <w:kern w:val="0"/>
          <w:sz w:val="32"/>
          <w:szCs w:val="32"/>
        </w:rPr>
      </w:pPr>
      <w:r>
        <w:rPr>
          <w:rFonts w:hint="eastAsia" w:ascii="仿宋_GB2312" w:hAnsi="仿宋" w:eastAsia="仿宋_GB2312"/>
          <w:kern w:val="0"/>
          <w:sz w:val="32"/>
          <w:szCs w:val="32"/>
        </w:rPr>
        <w:t xml:space="preserve">    评标方法</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rPr>
        <w:t xml:space="preserve"> 综合评分法（权重100分）</w:t>
      </w:r>
    </w:p>
    <w:tbl>
      <w:tblPr>
        <w:tblStyle w:val="12"/>
        <w:tblpPr w:leftFromText="180" w:rightFromText="180" w:vertAnchor="text" w:horzAnchor="margin" w:tblpXSpec="center" w:tblpY="229"/>
        <w:tblW w:w="102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678"/>
        <w:gridCol w:w="2006"/>
        <w:gridCol w:w="4819"/>
        <w:gridCol w:w="709"/>
        <w:gridCol w:w="20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09" w:hRule="atLeast"/>
        </w:trPr>
        <w:tc>
          <w:tcPr>
            <w:tcW w:w="10260" w:type="dxa"/>
            <w:gridSpan w:val="5"/>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spacing w:line="520" w:lineRule="exact"/>
              <w:jc w:val="center"/>
              <w:rPr>
                <w:rFonts w:ascii="仿宋_GB2312" w:hAnsi="仿宋" w:eastAsia="仿宋_GB2312" w:cs="仿宋"/>
                <w:sz w:val="32"/>
                <w:szCs w:val="32"/>
              </w:rPr>
            </w:pPr>
            <w:r>
              <w:rPr>
                <w:rFonts w:hint="eastAsia" w:ascii="仿宋_GB2312" w:hAnsi="仿宋" w:eastAsia="仿宋_GB2312" w:cs="仿宋"/>
                <w:sz w:val="32"/>
                <w:szCs w:val="32"/>
              </w:rPr>
              <w:t>评 标 信 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30" w:hRule="atLeast"/>
        </w:trPr>
        <w:tc>
          <w:tcPr>
            <w:tcW w:w="678"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spacing w:line="520" w:lineRule="exact"/>
              <w:jc w:val="center"/>
              <w:rPr>
                <w:rFonts w:ascii="仿宋_GB2312" w:hAnsi="仿宋" w:eastAsia="仿宋_GB2312" w:cs="仿宋"/>
                <w:b/>
                <w:sz w:val="32"/>
                <w:szCs w:val="32"/>
              </w:rPr>
            </w:pPr>
            <w:r>
              <w:rPr>
                <w:rFonts w:hint="eastAsia" w:ascii="仿宋_GB2312" w:hAnsi="仿宋" w:eastAsia="仿宋_GB2312" w:cs="仿宋"/>
                <w:b/>
                <w:sz w:val="32"/>
                <w:szCs w:val="32"/>
              </w:rPr>
              <w:t>序号</w:t>
            </w:r>
          </w:p>
        </w:tc>
        <w:tc>
          <w:tcPr>
            <w:tcW w:w="200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spacing w:line="520" w:lineRule="exact"/>
              <w:ind w:firstLine="315" w:firstLineChars="98"/>
              <w:rPr>
                <w:rFonts w:ascii="仿宋_GB2312" w:hAnsi="仿宋" w:eastAsia="仿宋_GB2312" w:cs="仿宋"/>
                <w:b/>
                <w:sz w:val="32"/>
                <w:szCs w:val="32"/>
              </w:rPr>
            </w:pPr>
            <w:r>
              <w:rPr>
                <w:rFonts w:hint="eastAsia" w:ascii="仿宋_GB2312" w:hAnsi="仿宋" w:eastAsia="仿宋_GB2312" w:cs="仿宋"/>
                <w:b/>
                <w:sz w:val="32"/>
                <w:szCs w:val="32"/>
              </w:rPr>
              <w:t>评分因素</w:t>
            </w:r>
          </w:p>
        </w:tc>
        <w:tc>
          <w:tcPr>
            <w:tcW w:w="481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spacing w:line="520" w:lineRule="exact"/>
              <w:ind w:firstLine="1590" w:firstLineChars="495"/>
              <w:rPr>
                <w:rFonts w:ascii="仿宋_GB2312" w:hAnsi="仿宋" w:eastAsia="仿宋_GB2312" w:cs="仿宋"/>
                <w:b/>
                <w:sz w:val="32"/>
                <w:szCs w:val="32"/>
              </w:rPr>
            </w:pPr>
            <w:r>
              <w:rPr>
                <w:rFonts w:hint="eastAsia" w:ascii="仿宋_GB2312" w:hAnsi="仿宋" w:eastAsia="仿宋_GB2312" w:cs="仿宋"/>
                <w:b/>
                <w:sz w:val="32"/>
                <w:szCs w:val="32"/>
              </w:rPr>
              <w:t>评分规则</w:t>
            </w:r>
          </w:p>
        </w:tc>
        <w:tc>
          <w:tcPr>
            <w:tcW w:w="70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spacing w:line="520" w:lineRule="exact"/>
              <w:jc w:val="center"/>
              <w:rPr>
                <w:rFonts w:ascii="仿宋_GB2312" w:hAnsi="仿宋" w:eastAsia="仿宋_GB2312" w:cs="仿宋"/>
                <w:b/>
                <w:sz w:val="32"/>
                <w:szCs w:val="32"/>
              </w:rPr>
            </w:pPr>
            <w:r>
              <w:rPr>
                <w:rFonts w:hint="eastAsia" w:ascii="仿宋_GB2312" w:hAnsi="仿宋" w:eastAsia="仿宋_GB2312" w:cs="仿宋"/>
                <w:b/>
                <w:sz w:val="32"/>
                <w:szCs w:val="32"/>
              </w:rPr>
              <w:t>权重</w:t>
            </w:r>
          </w:p>
        </w:tc>
        <w:tc>
          <w:tcPr>
            <w:tcW w:w="2048"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spacing w:line="520" w:lineRule="exact"/>
              <w:ind w:firstLine="315" w:firstLineChars="98"/>
              <w:rPr>
                <w:rFonts w:ascii="仿宋_GB2312" w:hAnsi="仿宋" w:eastAsia="仿宋_GB2312" w:cs="仿宋"/>
                <w:b/>
                <w:sz w:val="32"/>
                <w:szCs w:val="32"/>
              </w:rPr>
            </w:pPr>
            <w:r>
              <w:rPr>
                <w:rFonts w:hint="eastAsia" w:ascii="仿宋_GB2312" w:hAnsi="仿宋" w:eastAsia="仿宋_GB2312" w:cs="仿宋"/>
                <w:b/>
                <w:sz w:val="32"/>
                <w:szCs w:val="32"/>
              </w:rPr>
              <w:t>评分方式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297" w:hRule="atLeast"/>
        </w:trPr>
        <w:tc>
          <w:tcPr>
            <w:tcW w:w="678" w:type="dxa"/>
            <w:tcBorders>
              <w:top w:val="single" w:color="000000" w:sz="8" w:space="0"/>
              <w:left w:val="single" w:color="000000" w:sz="8" w:space="0"/>
              <w:bottom w:val="single" w:color="000000" w:sz="8" w:space="0"/>
              <w:right w:val="single" w:color="000000" w:sz="8" w:space="0"/>
            </w:tcBorders>
          </w:tcPr>
          <w:p>
            <w:pPr>
              <w:widowControl/>
              <w:spacing w:line="520" w:lineRule="exact"/>
              <w:ind w:firstLine="320" w:firstLineChars="100"/>
              <w:jc w:val="center"/>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1</w:t>
            </w:r>
          </w:p>
        </w:tc>
        <w:tc>
          <w:tcPr>
            <w:tcW w:w="2006" w:type="dxa"/>
            <w:tcBorders>
              <w:top w:val="single" w:color="000000" w:sz="8" w:space="0"/>
              <w:left w:val="single" w:color="000000" w:sz="8" w:space="0"/>
              <w:bottom w:val="single" w:color="000000" w:sz="8" w:space="0"/>
              <w:right w:val="single" w:color="auto" w:sz="4" w:space="0"/>
            </w:tcBorders>
          </w:tcPr>
          <w:p>
            <w:pPr>
              <w:widowControl/>
              <w:spacing w:line="520" w:lineRule="exac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价格分</w:t>
            </w:r>
          </w:p>
        </w:tc>
        <w:tc>
          <w:tcPr>
            <w:tcW w:w="4819" w:type="dxa"/>
            <w:tcBorders>
              <w:top w:val="single" w:color="000000" w:sz="8" w:space="0"/>
              <w:left w:val="single" w:color="auto" w:sz="4" w:space="0"/>
              <w:bottom w:val="single" w:color="000000" w:sz="8" w:space="0"/>
              <w:right w:val="single" w:color="000000" w:sz="8" w:space="0"/>
            </w:tcBorders>
          </w:tcPr>
          <w:p>
            <w:pPr>
              <w:widowControl/>
              <w:spacing w:line="520" w:lineRule="exact"/>
              <w:rPr>
                <w:rFonts w:ascii="仿宋_GB2312" w:hAnsi="仿宋" w:eastAsia="仿宋_GB2312" w:cs="仿宋"/>
                <w:bCs/>
                <w:color w:val="000000"/>
                <w:kern w:val="0"/>
                <w:sz w:val="32"/>
                <w:szCs w:val="32"/>
              </w:rPr>
            </w:pPr>
            <w:r>
              <w:rPr>
                <w:rFonts w:hint="eastAsia" w:ascii="仿宋_GB2312" w:hAnsi="仿宋" w:eastAsia="仿宋_GB2312" w:cs="仿宋"/>
                <w:sz w:val="32"/>
                <w:szCs w:val="32"/>
              </w:rPr>
              <w:t>价格得分采用低价优先法计算</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即通过初审、且投标价格最低的投标报价为评标基准价，其价格得分为30分；其他投标人的价格得分按如下公式计算</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价格得分=（评标基准价÷投标报价）×30</w:t>
            </w:r>
          </w:p>
        </w:tc>
        <w:tc>
          <w:tcPr>
            <w:tcW w:w="709" w:type="dxa"/>
            <w:tcBorders>
              <w:top w:val="single" w:color="000000" w:sz="8" w:space="0"/>
              <w:left w:val="single" w:color="000000" w:sz="8" w:space="0"/>
              <w:bottom w:val="single" w:color="000000" w:sz="8" w:space="0"/>
              <w:right w:val="single" w:color="000000" w:sz="8" w:space="0"/>
            </w:tcBorders>
            <w:vAlign w:val="center"/>
          </w:tcPr>
          <w:p>
            <w:pPr>
              <w:widowControl/>
              <w:spacing w:line="520" w:lineRule="exact"/>
              <w:ind w:firstLine="161" w:firstLineChars="50"/>
              <w:jc w:val="center"/>
              <w:rPr>
                <w:rFonts w:ascii="仿宋_GB2312" w:hAnsi="仿宋" w:eastAsia="仿宋_GB2312" w:cs="仿宋"/>
                <w:b/>
                <w:bCs/>
                <w:color w:val="000000"/>
                <w:kern w:val="0"/>
                <w:sz w:val="32"/>
                <w:szCs w:val="32"/>
              </w:rPr>
            </w:pPr>
            <w:r>
              <w:rPr>
                <w:rFonts w:hint="eastAsia" w:ascii="仿宋_GB2312" w:hAnsi="仿宋" w:eastAsia="仿宋_GB2312" w:cs="仿宋"/>
                <w:b/>
                <w:bCs/>
                <w:color w:val="000000"/>
                <w:kern w:val="0"/>
                <w:sz w:val="32"/>
                <w:szCs w:val="32"/>
              </w:rPr>
              <w:t>30</w:t>
            </w:r>
          </w:p>
        </w:tc>
        <w:tc>
          <w:tcPr>
            <w:tcW w:w="2048" w:type="dxa"/>
            <w:tcBorders>
              <w:top w:val="single" w:color="000000" w:sz="8" w:space="0"/>
              <w:left w:val="single" w:color="000000" w:sz="8" w:space="0"/>
              <w:bottom w:val="single" w:color="000000" w:sz="8" w:space="0"/>
              <w:right w:val="single" w:color="000000" w:sz="8" w:space="0"/>
            </w:tcBorders>
            <w:vAlign w:val="center"/>
          </w:tcPr>
          <w:p>
            <w:pPr>
              <w:widowControl/>
              <w:spacing w:line="520" w:lineRule="exact"/>
              <w:jc w:val="center"/>
              <w:rPr>
                <w:rFonts w:ascii="仿宋_GB2312" w:hAnsi="仿宋" w:eastAsia="仿宋_GB2312" w:cs="仿宋"/>
                <w:bCs/>
                <w:color w:val="000000"/>
                <w:kern w:val="0"/>
                <w:sz w:val="32"/>
                <w:szCs w:val="32"/>
              </w:rPr>
            </w:pPr>
            <w:r>
              <w:rPr>
                <w:rFonts w:hint="eastAsia" w:ascii="仿宋_GB2312" w:hAnsi="仿宋" w:eastAsia="仿宋_GB2312" w:cs="仿宋"/>
                <w:kern w:val="0"/>
                <w:sz w:val="32"/>
                <w:szCs w:val="32"/>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157" w:hRule="atLeast"/>
        </w:trPr>
        <w:tc>
          <w:tcPr>
            <w:tcW w:w="678" w:type="dxa"/>
            <w:tcBorders>
              <w:top w:val="single" w:color="000000" w:sz="8" w:space="0"/>
              <w:left w:val="single" w:color="000000" w:sz="8" w:space="0"/>
              <w:bottom w:val="single" w:color="000000" w:sz="8" w:space="0"/>
              <w:right w:val="single" w:color="000000" w:sz="8" w:space="0"/>
            </w:tcBorders>
          </w:tcPr>
          <w:p>
            <w:pPr>
              <w:widowControl/>
              <w:spacing w:line="520" w:lineRule="exact"/>
              <w:ind w:firstLine="320" w:firstLineChars="100"/>
              <w:jc w:val="center"/>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2</w:t>
            </w:r>
          </w:p>
        </w:tc>
        <w:tc>
          <w:tcPr>
            <w:tcW w:w="2006" w:type="dxa"/>
            <w:tcBorders>
              <w:top w:val="single" w:color="000000" w:sz="8" w:space="0"/>
              <w:left w:val="single" w:color="000000" w:sz="8" w:space="0"/>
              <w:bottom w:val="single" w:color="000000" w:sz="8" w:space="0"/>
              <w:right w:val="single" w:color="auto" w:sz="4" w:space="0"/>
            </w:tcBorders>
          </w:tcPr>
          <w:p>
            <w:pPr>
              <w:widowControl/>
              <w:spacing w:line="520" w:lineRule="exac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公司资质</w:t>
            </w:r>
          </w:p>
        </w:tc>
        <w:tc>
          <w:tcPr>
            <w:tcW w:w="4819" w:type="dxa"/>
            <w:tcBorders>
              <w:top w:val="single" w:color="000000" w:sz="8" w:space="0"/>
              <w:left w:val="single" w:color="auto" w:sz="4" w:space="0"/>
              <w:bottom w:val="single" w:color="000000" w:sz="8" w:space="0"/>
              <w:right w:val="single" w:color="000000" w:sz="8" w:space="0"/>
            </w:tcBorders>
          </w:tcPr>
          <w:p>
            <w:pPr>
              <w:widowControl/>
              <w:spacing w:line="520" w:lineRule="exact"/>
              <w:rPr>
                <w:rFonts w:hint="eastAsia" w:ascii="仿宋_GB2312" w:hAnsi="仿宋" w:eastAsia="仿宋_GB2312" w:cs="仿宋"/>
                <w:color w:val="000000" w:themeColor="text1"/>
                <w:kern w:val="0"/>
                <w:sz w:val="32"/>
                <w:szCs w:val="32"/>
                <w:lang w:eastAsia="zh-CN"/>
                <w14:textFill>
                  <w14:solidFill>
                    <w14:schemeClr w14:val="tx1"/>
                  </w14:solidFill>
                </w14:textFill>
              </w:rPr>
            </w:pPr>
            <w:r>
              <w:rPr>
                <w:rFonts w:hint="eastAsia" w:ascii="仿宋_GB2312" w:hAnsi="仿宋" w:eastAsia="仿宋_GB2312" w:cs="仿宋"/>
                <w:sz w:val="32"/>
                <w:szCs w:val="32"/>
              </w:rPr>
              <w:t>具有</w:t>
            </w:r>
            <w:r>
              <w:rPr>
                <w:rFonts w:hint="eastAsia" w:ascii="仿宋_GB2312" w:hAnsi="仿宋" w:eastAsia="仿宋_GB2312" w:cs="仿宋"/>
                <w:sz w:val="32"/>
                <w:szCs w:val="32"/>
                <w:lang w:val="en-US" w:eastAsia="zh-CN"/>
              </w:rPr>
              <w:t>广东省工贸企业安全生产标准化</w:t>
            </w:r>
            <w:r>
              <w:rPr>
                <w:rFonts w:hint="eastAsia" w:ascii="仿宋_GB2312" w:hAnsi="仿宋" w:eastAsia="仿宋_GB2312" w:cs="仿宋"/>
                <w:sz w:val="32"/>
                <w:szCs w:val="32"/>
              </w:rPr>
              <w:t>二级或以上消防技术服务机构资质证书得</w:t>
            </w:r>
            <w:r>
              <w:rPr>
                <w:rFonts w:hint="eastAsia" w:ascii="仿宋_GB2312" w:hAnsi="仿宋" w:eastAsia="仿宋_GB2312" w:cs="仿宋"/>
                <w:sz w:val="32"/>
                <w:szCs w:val="32"/>
                <w:lang w:val="en-US" w:eastAsia="zh-CN"/>
              </w:rPr>
              <w:t>15</w:t>
            </w:r>
            <w:r>
              <w:rPr>
                <w:rFonts w:hint="eastAsia" w:ascii="仿宋_GB2312" w:hAnsi="仿宋" w:eastAsia="仿宋_GB2312" w:cs="仿宋"/>
                <w:sz w:val="32"/>
                <w:szCs w:val="32"/>
              </w:rPr>
              <w:t>分；</w:t>
            </w:r>
          </w:p>
        </w:tc>
        <w:tc>
          <w:tcPr>
            <w:tcW w:w="709" w:type="dxa"/>
            <w:tcBorders>
              <w:top w:val="single" w:color="000000" w:sz="8" w:space="0"/>
              <w:left w:val="single" w:color="000000" w:sz="8" w:space="0"/>
              <w:bottom w:val="single" w:color="000000" w:sz="8" w:space="0"/>
              <w:right w:val="single" w:color="000000" w:sz="8" w:space="0"/>
            </w:tcBorders>
            <w:vAlign w:val="center"/>
          </w:tcPr>
          <w:p>
            <w:pPr>
              <w:widowControl/>
              <w:spacing w:line="520" w:lineRule="exact"/>
              <w:jc w:val="center"/>
              <w:rPr>
                <w:rFonts w:hint="default" w:ascii="仿宋_GB2312" w:hAnsi="仿宋" w:eastAsia="仿宋_GB2312" w:cs="仿宋"/>
                <w:b/>
                <w:bCs/>
                <w:color w:val="000000" w:themeColor="text1"/>
                <w:kern w:val="0"/>
                <w:sz w:val="32"/>
                <w:szCs w:val="32"/>
                <w:lang w:val="en-US"/>
                <w14:textFill>
                  <w14:solidFill>
                    <w14:schemeClr w14:val="tx1"/>
                  </w14:solidFill>
                </w14:textFill>
              </w:rPr>
            </w:pPr>
            <w:r>
              <w:rPr>
                <w:rFonts w:hint="eastAsia" w:ascii="仿宋_GB2312" w:hAnsi="仿宋" w:eastAsia="仿宋_GB2312" w:cs="仿宋"/>
                <w:b/>
                <w:bCs/>
                <w:color w:val="000000" w:themeColor="text1"/>
                <w:kern w:val="0"/>
                <w:sz w:val="32"/>
                <w:szCs w:val="32"/>
                <w:lang w:val="en-US" w:eastAsia="zh-CN"/>
                <w14:textFill>
                  <w14:solidFill>
                    <w14:schemeClr w14:val="tx1"/>
                  </w14:solidFill>
                </w14:textFill>
              </w:rPr>
              <w:t>15</w:t>
            </w:r>
          </w:p>
        </w:tc>
        <w:tc>
          <w:tcPr>
            <w:tcW w:w="2048" w:type="dxa"/>
            <w:tcBorders>
              <w:top w:val="single" w:color="000000" w:sz="8" w:space="0"/>
              <w:left w:val="single" w:color="000000" w:sz="8" w:space="0"/>
              <w:bottom w:val="single" w:color="000000" w:sz="8" w:space="0"/>
              <w:right w:val="single" w:color="000000" w:sz="8" w:space="0"/>
            </w:tcBorders>
            <w:vAlign w:val="center"/>
          </w:tcPr>
          <w:p>
            <w:pPr>
              <w:widowControl/>
              <w:spacing w:line="520" w:lineRule="exact"/>
              <w:jc w:val="center"/>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178" w:hRule="atLeast"/>
        </w:trPr>
        <w:tc>
          <w:tcPr>
            <w:tcW w:w="678" w:type="dxa"/>
            <w:tcBorders>
              <w:top w:val="single" w:color="000000" w:sz="8" w:space="0"/>
              <w:left w:val="single" w:color="000000" w:sz="8" w:space="0"/>
              <w:bottom w:val="single" w:color="000000" w:sz="8" w:space="0"/>
              <w:right w:val="single" w:color="000000" w:sz="8" w:space="0"/>
            </w:tcBorders>
          </w:tcPr>
          <w:p>
            <w:pPr>
              <w:widowControl/>
              <w:spacing w:line="520" w:lineRule="exact"/>
              <w:ind w:firstLine="320" w:firstLineChars="100"/>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3</w:t>
            </w:r>
          </w:p>
        </w:tc>
        <w:tc>
          <w:tcPr>
            <w:tcW w:w="2006" w:type="dxa"/>
            <w:tcBorders>
              <w:top w:val="single" w:color="000000" w:sz="8" w:space="0"/>
              <w:left w:val="single" w:color="000000" w:sz="8" w:space="0"/>
              <w:bottom w:val="single" w:color="000000" w:sz="8" w:space="0"/>
              <w:right w:val="single" w:color="000000" w:sz="8" w:space="0"/>
            </w:tcBorders>
          </w:tcPr>
          <w:p>
            <w:pPr>
              <w:spacing w:line="520" w:lineRule="exact"/>
              <w:rPr>
                <w:rFonts w:ascii="仿宋_GB2312" w:hAnsi="仿宋" w:eastAsia="仿宋_GB2312" w:cs="仿宋"/>
                <w:sz w:val="32"/>
                <w:szCs w:val="32"/>
              </w:rPr>
            </w:pPr>
            <w:r>
              <w:rPr>
                <w:rFonts w:hint="eastAsia" w:ascii="仿宋_GB2312" w:hAnsi="仿宋" w:eastAsia="仿宋_GB2312" w:cs="仿宋"/>
                <w:sz w:val="32"/>
                <w:szCs w:val="32"/>
              </w:rPr>
              <w:t>项目方案</w:t>
            </w:r>
          </w:p>
        </w:tc>
        <w:tc>
          <w:tcPr>
            <w:tcW w:w="4819" w:type="dxa"/>
            <w:tcBorders>
              <w:top w:val="single" w:color="000000" w:sz="8" w:space="0"/>
              <w:left w:val="single" w:color="000000" w:sz="8" w:space="0"/>
              <w:bottom w:val="single" w:color="000000" w:sz="8" w:space="0"/>
              <w:right w:val="single" w:color="000000" w:sz="8" w:space="0"/>
            </w:tcBorders>
          </w:tcPr>
          <w:p>
            <w:pPr>
              <w:spacing w:line="520" w:lineRule="exact"/>
              <w:rPr>
                <w:rFonts w:ascii="仿宋_GB2312" w:hAnsi="仿宋" w:eastAsia="仿宋_GB2312" w:cs="仿宋"/>
                <w:sz w:val="32"/>
                <w:szCs w:val="32"/>
              </w:rPr>
            </w:pPr>
            <w:r>
              <w:rPr>
                <w:rFonts w:hint="eastAsia" w:ascii="仿宋_GB2312" w:hAnsi="仿宋" w:eastAsia="仿宋_GB2312" w:cs="仿宋"/>
                <w:sz w:val="32"/>
                <w:szCs w:val="32"/>
              </w:rPr>
              <w:t>投标人根据招标文件的需求作出方案，专家根据方案的优良中差进行评分，</w:t>
            </w:r>
            <w:r>
              <w:rPr>
                <w:rFonts w:hint="eastAsia" w:ascii="仿宋_GB2312" w:hAnsi="仿宋" w:eastAsia="仿宋_GB2312" w:cs="仿宋"/>
                <w:bCs/>
                <w:caps/>
                <w:sz w:val="32"/>
                <w:szCs w:val="32"/>
              </w:rPr>
              <w:t>优得11-15分、良得6-10分、中得1-5分，差得0分。</w:t>
            </w:r>
          </w:p>
        </w:tc>
        <w:tc>
          <w:tcPr>
            <w:tcW w:w="709" w:type="dxa"/>
            <w:tcBorders>
              <w:top w:val="single" w:color="000000" w:sz="8" w:space="0"/>
              <w:left w:val="single" w:color="000000" w:sz="8" w:space="0"/>
              <w:bottom w:val="single" w:color="000000" w:sz="8" w:space="0"/>
              <w:right w:val="single" w:color="000000" w:sz="8" w:space="0"/>
            </w:tcBorders>
            <w:vAlign w:val="center"/>
          </w:tcPr>
          <w:p>
            <w:pPr>
              <w:widowControl/>
              <w:spacing w:line="520" w:lineRule="exact"/>
              <w:ind w:firstLine="161" w:firstLineChars="50"/>
              <w:jc w:val="center"/>
              <w:rPr>
                <w:rFonts w:ascii="仿宋_GB2312" w:hAnsi="仿宋" w:eastAsia="仿宋_GB2312" w:cs="仿宋"/>
                <w:b/>
                <w:bCs/>
                <w:kern w:val="0"/>
                <w:sz w:val="32"/>
                <w:szCs w:val="32"/>
              </w:rPr>
            </w:pPr>
            <w:r>
              <w:rPr>
                <w:rFonts w:hint="eastAsia" w:ascii="仿宋_GB2312" w:hAnsi="仿宋" w:eastAsia="仿宋_GB2312" w:cs="仿宋"/>
                <w:b/>
                <w:bCs/>
                <w:kern w:val="0"/>
                <w:sz w:val="32"/>
                <w:szCs w:val="32"/>
              </w:rPr>
              <w:t>15</w:t>
            </w:r>
          </w:p>
        </w:tc>
        <w:tc>
          <w:tcPr>
            <w:tcW w:w="2048" w:type="dxa"/>
            <w:tcBorders>
              <w:top w:val="single" w:color="000000" w:sz="8" w:space="0"/>
              <w:left w:val="single" w:color="000000" w:sz="8" w:space="0"/>
              <w:bottom w:val="single" w:color="000000" w:sz="8" w:space="0"/>
              <w:right w:val="single" w:color="000000" w:sz="8" w:space="0"/>
            </w:tcBorders>
            <w:vAlign w:val="center"/>
          </w:tcPr>
          <w:p>
            <w:pPr>
              <w:widowControl/>
              <w:spacing w:line="52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883" w:hRule="atLeast"/>
        </w:trPr>
        <w:tc>
          <w:tcPr>
            <w:tcW w:w="678" w:type="dxa"/>
            <w:tcBorders>
              <w:top w:val="single" w:color="000000" w:sz="8" w:space="0"/>
              <w:left w:val="single" w:color="000000" w:sz="8" w:space="0"/>
              <w:bottom w:val="single" w:color="000000" w:sz="8" w:space="0"/>
              <w:right w:val="single" w:color="000000" w:sz="8" w:space="0"/>
            </w:tcBorders>
          </w:tcPr>
          <w:p>
            <w:pPr>
              <w:widowControl/>
              <w:spacing w:line="520" w:lineRule="exact"/>
              <w:ind w:firstLine="320" w:firstLineChars="100"/>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4</w:t>
            </w:r>
          </w:p>
        </w:tc>
        <w:tc>
          <w:tcPr>
            <w:tcW w:w="2006" w:type="dxa"/>
            <w:tcBorders>
              <w:top w:val="single" w:color="000000" w:sz="8" w:space="0"/>
              <w:left w:val="single" w:color="000000" w:sz="8" w:space="0"/>
              <w:bottom w:val="single" w:color="000000" w:sz="8" w:space="0"/>
              <w:right w:val="single" w:color="000000" w:sz="8" w:space="0"/>
            </w:tcBorders>
          </w:tcPr>
          <w:p>
            <w:pPr>
              <w:spacing w:line="520" w:lineRule="exact"/>
              <w:rPr>
                <w:rFonts w:ascii="仿宋_GB2312" w:hAnsi="仿宋" w:eastAsia="仿宋_GB2312" w:cs="仿宋"/>
                <w:sz w:val="28"/>
                <w:szCs w:val="28"/>
              </w:rPr>
            </w:pPr>
          </w:p>
          <w:p>
            <w:pPr>
              <w:spacing w:line="520" w:lineRule="exact"/>
              <w:rPr>
                <w:rFonts w:hint="eastAsia" w:ascii="仿宋_GB2312" w:hAnsi="仿宋" w:eastAsia="仿宋_GB2312" w:cs="仿宋"/>
                <w:sz w:val="32"/>
                <w:szCs w:val="32"/>
                <w:lang w:eastAsia="zh-CN"/>
              </w:rPr>
            </w:pPr>
            <w:r>
              <w:rPr>
                <w:rFonts w:hint="eastAsia" w:ascii="仿宋_GB2312" w:hAnsi="仿宋" w:eastAsia="仿宋_GB2312" w:cs="仿宋"/>
                <w:caps/>
                <w:sz w:val="32"/>
                <w:szCs w:val="32"/>
                <w:lang w:val="en-US" w:eastAsia="zh-CN"/>
              </w:rPr>
              <w:t>拟投入本项目的人员资质</w:t>
            </w:r>
          </w:p>
        </w:tc>
        <w:tc>
          <w:tcPr>
            <w:tcW w:w="4819" w:type="dxa"/>
            <w:tcBorders>
              <w:top w:val="single" w:color="000000" w:sz="8" w:space="0"/>
              <w:left w:val="single" w:color="000000" w:sz="8" w:space="0"/>
              <w:bottom w:val="single" w:color="000000" w:sz="8" w:space="0"/>
              <w:right w:val="single" w:color="000000" w:sz="8" w:space="0"/>
            </w:tcBorders>
          </w:tcPr>
          <w:p>
            <w:pPr>
              <w:pStyle w:val="18"/>
              <w:keepNext w:val="0"/>
              <w:keepLines w:val="0"/>
              <w:pageBreakBefore w:val="0"/>
              <w:widowControl w:val="0"/>
              <w:kinsoku/>
              <w:wordWrap/>
              <w:overflowPunct/>
              <w:topLinePunct w:val="0"/>
              <w:bidi w:val="0"/>
              <w:snapToGrid/>
              <w:spacing w:line="520" w:lineRule="exact"/>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1、取得注册安全工程师资格证书；</w:t>
            </w:r>
          </w:p>
          <w:p>
            <w:pPr>
              <w:pStyle w:val="18"/>
              <w:keepNext w:val="0"/>
              <w:keepLines w:val="0"/>
              <w:pageBreakBefore w:val="0"/>
              <w:widowControl w:val="0"/>
              <w:kinsoku/>
              <w:wordWrap/>
              <w:overflowPunct/>
              <w:topLinePunct w:val="0"/>
              <w:bidi w:val="0"/>
              <w:snapToGrid/>
              <w:spacing w:line="520" w:lineRule="exact"/>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2、取得危险化学品从业单位安全生产标准化评审人员证书；</w:t>
            </w:r>
          </w:p>
          <w:p>
            <w:pPr>
              <w:pStyle w:val="18"/>
              <w:keepNext w:val="0"/>
              <w:keepLines w:val="0"/>
              <w:pageBreakBefore w:val="0"/>
              <w:widowControl w:val="0"/>
              <w:kinsoku/>
              <w:wordWrap/>
              <w:overflowPunct/>
              <w:topLinePunct w:val="0"/>
              <w:bidi w:val="0"/>
              <w:snapToGrid/>
              <w:spacing w:line="520" w:lineRule="exact"/>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3、取得人力资源和社会保障部门颁发的高级工程师职称；</w:t>
            </w:r>
          </w:p>
          <w:p>
            <w:pPr>
              <w:pStyle w:val="18"/>
              <w:keepNext w:val="0"/>
              <w:keepLines w:val="0"/>
              <w:pageBreakBefore w:val="0"/>
              <w:widowControl w:val="0"/>
              <w:kinsoku/>
              <w:wordWrap/>
              <w:overflowPunct/>
              <w:topLinePunct w:val="0"/>
              <w:bidi w:val="0"/>
              <w:snapToGrid/>
              <w:spacing w:line="520" w:lineRule="exact"/>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4、具有一级安全评价师资格证书（加盖有人力资源和社会保障部职业技能鉴定中心职业技能鉴定专用章或原劳动和社会保障部职业技能鉴定中心职业技能鉴定专用章）；</w:t>
            </w:r>
          </w:p>
          <w:p>
            <w:pPr>
              <w:keepNext w:val="0"/>
              <w:keepLines w:val="0"/>
              <w:pageBreakBefore w:val="0"/>
              <w:widowControl w:val="0"/>
              <w:kinsoku/>
              <w:wordWrap/>
              <w:overflowPunct/>
              <w:topLinePunct w:val="0"/>
              <w:bidi w:val="0"/>
              <w:snapToGrid/>
              <w:spacing w:line="520" w:lineRule="exact"/>
              <w:textAlignment w:val="auto"/>
              <w:rPr>
                <w:rFonts w:hint="default" w:ascii="仿宋_GB2312" w:hAnsi="仿宋" w:eastAsia="仿宋_GB2312" w:cs="仿宋"/>
                <w:sz w:val="32"/>
                <w:szCs w:val="32"/>
                <w:lang w:val="en-US" w:eastAsia="zh-CN"/>
              </w:rPr>
            </w:pPr>
            <w:r>
              <w:rPr>
                <w:rFonts w:hint="eastAsia" w:ascii="仿宋" w:hAnsi="仿宋" w:eastAsia="仿宋" w:cs="仿宋"/>
                <w:sz w:val="32"/>
                <w:szCs w:val="32"/>
              </w:rPr>
              <w:t>以上条件具有4项得</w:t>
            </w:r>
            <w:r>
              <w:rPr>
                <w:rFonts w:hint="eastAsia" w:ascii="仿宋" w:hAnsi="仿宋" w:eastAsia="仿宋" w:cs="仿宋"/>
                <w:sz w:val="32"/>
                <w:szCs w:val="32"/>
                <w:lang w:val="en-US" w:eastAsia="zh-CN"/>
              </w:rPr>
              <w:t>满分</w:t>
            </w:r>
            <w:r>
              <w:rPr>
                <w:rFonts w:hint="eastAsia" w:ascii="仿宋" w:hAnsi="仿宋" w:eastAsia="仿宋" w:cs="仿宋"/>
                <w:sz w:val="32"/>
                <w:szCs w:val="32"/>
              </w:rPr>
              <w:t>，具有3项得</w:t>
            </w:r>
            <w:r>
              <w:rPr>
                <w:rFonts w:hint="eastAsia" w:ascii="仿宋" w:hAnsi="仿宋" w:eastAsia="仿宋" w:cs="仿宋"/>
                <w:sz w:val="32"/>
                <w:szCs w:val="32"/>
                <w:lang w:val="en-US" w:eastAsia="zh-CN"/>
              </w:rPr>
              <w:t>15分</w:t>
            </w:r>
            <w:r>
              <w:rPr>
                <w:rFonts w:hint="eastAsia" w:ascii="仿宋" w:hAnsi="仿宋" w:eastAsia="仿宋" w:cs="仿宋"/>
                <w:sz w:val="32"/>
                <w:szCs w:val="32"/>
              </w:rPr>
              <w:t>，具有2项得</w:t>
            </w:r>
            <w:r>
              <w:rPr>
                <w:rFonts w:hint="eastAsia" w:ascii="仿宋" w:hAnsi="仿宋" w:eastAsia="仿宋" w:cs="仿宋"/>
                <w:sz w:val="32"/>
                <w:szCs w:val="32"/>
                <w:lang w:val="en-US" w:eastAsia="zh-CN"/>
              </w:rPr>
              <w:t>10分</w:t>
            </w:r>
            <w:r>
              <w:rPr>
                <w:rFonts w:hint="eastAsia" w:ascii="仿宋" w:hAnsi="仿宋" w:eastAsia="仿宋" w:cs="仿宋"/>
                <w:sz w:val="32"/>
                <w:szCs w:val="32"/>
              </w:rPr>
              <w:t>,具有</w:t>
            </w:r>
            <w:r>
              <w:rPr>
                <w:rFonts w:hint="eastAsia" w:ascii="仿宋" w:hAnsi="仿宋" w:eastAsia="仿宋" w:cs="仿宋"/>
                <w:sz w:val="32"/>
                <w:szCs w:val="32"/>
                <w:lang w:val="en-US" w:eastAsia="zh-CN"/>
              </w:rPr>
              <w:t>1</w:t>
            </w:r>
            <w:r>
              <w:rPr>
                <w:rFonts w:hint="eastAsia" w:ascii="仿宋" w:hAnsi="仿宋" w:eastAsia="仿宋" w:cs="仿宋"/>
                <w:sz w:val="32"/>
                <w:szCs w:val="32"/>
              </w:rPr>
              <w:t>项得</w:t>
            </w:r>
            <w:r>
              <w:rPr>
                <w:rFonts w:hint="eastAsia" w:ascii="仿宋" w:hAnsi="仿宋" w:eastAsia="仿宋" w:cs="仿宋"/>
                <w:sz w:val="32"/>
                <w:szCs w:val="32"/>
                <w:lang w:val="en-US" w:eastAsia="zh-CN"/>
              </w:rPr>
              <w:t>5分，</w:t>
            </w:r>
            <w:r>
              <w:rPr>
                <w:rFonts w:hint="eastAsia" w:ascii="仿宋" w:hAnsi="仿宋" w:eastAsia="仿宋" w:cs="仿宋"/>
                <w:sz w:val="32"/>
                <w:szCs w:val="32"/>
              </w:rPr>
              <w:t>其他情况不得分。（提供相关证明和投标截止时间前三个月社会保险缴交证明，不接受补缴社保，不接受退休人员，如开标日上一个月的社保材料因社保部门原因暂时无法取得，则可以往前顺延一个月）</w:t>
            </w:r>
            <w:r>
              <w:rPr>
                <w:rFonts w:hint="eastAsia" w:ascii="仿宋" w:hAnsi="仿宋" w:eastAsia="仿宋" w:cs="仿宋"/>
                <w:sz w:val="32"/>
                <w:szCs w:val="32"/>
                <w:lang w:eastAsia="zh-CN"/>
              </w:rPr>
              <w:t>。</w:t>
            </w:r>
            <w:r>
              <w:rPr>
                <w:rFonts w:hint="eastAsia" w:ascii="仿宋" w:hAnsi="仿宋" w:eastAsia="仿宋" w:cs="仿宋"/>
                <w:bCs/>
                <w:caps/>
                <w:sz w:val="32"/>
                <w:szCs w:val="32"/>
                <w:lang w:val="en-US" w:eastAsia="zh-CN"/>
              </w:rPr>
              <w:t>如未按要求提供该项以上证明完整资料的不得分。</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2"/>
              <w:ind w:left="0" w:leftChars="0" w:firstLine="0" w:firstLineChars="0"/>
              <w:rPr>
                <w:rFonts w:hint="eastAsia" w:ascii="仿宋_GB2312" w:hAnsi="仿宋" w:eastAsia="仿宋_GB2312" w:cs="仿宋"/>
                <w:b/>
                <w:sz w:val="32"/>
                <w:szCs w:val="32"/>
                <w:lang w:eastAsia="zh-CN"/>
              </w:rPr>
            </w:pPr>
          </w:p>
          <w:p>
            <w:pPr>
              <w:pStyle w:val="2"/>
              <w:ind w:left="0" w:leftChars="0" w:firstLine="0" w:firstLineChars="0"/>
              <w:rPr>
                <w:rFonts w:hint="eastAsia" w:ascii="仿宋_GB2312" w:hAnsi="仿宋" w:eastAsia="仿宋_GB2312" w:cs="仿宋"/>
                <w:b/>
                <w:sz w:val="32"/>
                <w:szCs w:val="32"/>
                <w:lang w:eastAsia="zh-CN"/>
              </w:rPr>
            </w:pPr>
          </w:p>
          <w:p>
            <w:pPr>
              <w:pStyle w:val="2"/>
              <w:ind w:left="0" w:leftChars="0" w:firstLine="0" w:firstLineChars="0"/>
              <w:rPr>
                <w:rFonts w:hint="eastAsia" w:ascii="仿宋_GB2312" w:hAnsi="仿宋" w:eastAsia="仿宋_GB2312" w:cs="仿宋"/>
                <w:b/>
                <w:sz w:val="32"/>
                <w:szCs w:val="32"/>
                <w:lang w:eastAsia="zh-CN"/>
              </w:rPr>
            </w:pPr>
          </w:p>
          <w:p>
            <w:pPr>
              <w:pStyle w:val="2"/>
              <w:ind w:left="0" w:leftChars="0" w:firstLine="0" w:firstLineChars="0"/>
              <w:rPr>
                <w:rFonts w:hint="eastAsia" w:ascii="仿宋_GB2312" w:hAnsi="仿宋" w:eastAsia="仿宋_GB2312" w:cs="仿宋"/>
                <w:b/>
                <w:sz w:val="32"/>
                <w:szCs w:val="32"/>
                <w:lang w:eastAsia="zh-CN"/>
              </w:rPr>
            </w:pPr>
          </w:p>
          <w:p>
            <w:pPr>
              <w:pStyle w:val="2"/>
              <w:ind w:left="0" w:leftChars="0" w:firstLine="0" w:firstLineChars="0"/>
              <w:rPr>
                <w:rFonts w:hint="eastAsia" w:ascii="仿宋_GB2312" w:hAnsi="仿宋" w:eastAsia="仿宋_GB2312" w:cs="仿宋"/>
                <w:b/>
                <w:sz w:val="32"/>
                <w:szCs w:val="32"/>
                <w:lang w:eastAsia="zh-CN"/>
              </w:rPr>
            </w:pPr>
          </w:p>
          <w:p>
            <w:pPr>
              <w:pStyle w:val="2"/>
              <w:ind w:left="0" w:leftChars="0" w:firstLine="0" w:firstLineChars="0"/>
              <w:rPr>
                <w:rFonts w:hint="eastAsia" w:ascii="仿宋_GB2312" w:hAnsi="仿宋" w:eastAsia="仿宋_GB2312" w:cs="仿宋"/>
                <w:b/>
                <w:sz w:val="32"/>
                <w:szCs w:val="32"/>
                <w:lang w:eastAsia="zh-CN"/>
              </w:rPr>
            </w:pPr>
          </w:p>
          <w:p>
            <w:pPr>
              <w:pStyle w:val="2"/>
              <w:ind w:left="0" w:leftChars="0" w:firstLine="321" w:firstLineChars="100"/>
              <w:rPr>
                <w:rFonts w:hint="eastAsia" w:ascii="仿宋_GB2312" w:hAnsi="仿宋" w:eastAsia="仿宋_GB2312" w:cs="仿宋"/>
                <w:b/>
                <w:sz w:val="32"/>
                <w:szCs w:val="32"/>
                <w:lang w:val="en-US" w:eastAsia="zh-CN"/>
              </w:rPr>
            </w:pPr>
          </w:p>
          <w:p>
            <w:pPr>
              <w:pStyle w:val="2"/>
              <w:ind w:left="0" w:leftChars="0" w:firstLine="0" w:firstLineChars="0"/>
              <w:rPr>
                <w:rFonts w:hint="default" w:ascii="仿宋_GB2312" w:hAnsi="仿宋" w:eastAsia="仿宋_GB2312" w:cs="仿宋"/>
                <w:b/>
                <w:sz w:val="32"/>
                <w:szCs w:val="32"/>
                <w:lang w:val="en-US" w:eastAsia="zh-CN"/>
              </w:rPr>
            </w:pPr>
            <w:r>
              <w:rPr>
                <w:rFonts w:hint="eastAsia" w:ascii="仿宋_GB2312" w:hAnsi="仿宋" w:eastAsia="仿宋_GB2312" w:cs="仿宋"/>
                <w:b/>
                <w:sz w:val="32"/>
                <w:szCs w:val="32"/>
                <w:lang w:val="en-US" w:eastAsia="zh-CN"/>
              </w:rPr>
              <w:t>20</w:t>
            </w:r>
          </w:p>
        </w:tc>
        <w:tc>
          <w:tcPr>
            <w:tcW w:w="2048" w:type="dxa"/>
            <w:tcBorders>
              <w:top w:val="single" w:color="000000" w:sz="8" w:space="0"/>
              <w:left w:val="single" w:color="000000" w:sz="8" w:space="0"/>
              <w:bottom w:val="single" w:color="000000" w:sz="8" w:space="0"/>
              <w:right w:val="single" w:color="000000" w:sz="8" w:space="0"/>
            </w:tcBorders>
            <w:vAlign w:val="center"/>
          </w:tcPr>
          <w:p>
            <w:pPr>
              <w:spacing w:line="520" w:lineRule="exact"/>
              <w:jc w:val="center"/>
              <w:rPr>
                <w:rFonts w:ascii="仿宋_GB2312" w:hAnsi="仿宋" w:eastAsia="仿宋_GB2312" w:cs="仿宋"/>
                <w:sz w:val="32"/>
                <w:szCs w:val="32"/>
              </w:rPr>
            </w:pPr>
            <w:r>
              <w:rPr>
                <w:rFonts w:hint="eastAsia" w:ascii="仿宋_GB2312" w:hAnsi="仿宋" w:eastAsia="仿宋_GB2312" w:cs="仿宋"/>
                <w:sz w:val="32"/>
                <w:szCs w:val="32"/>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744" w:hRule="atLeast"/>
        </w:trPr>
        <w:tc>
          <w:tcPr>
            <w:tcW w:w="678" w:type="dxa"/>
            <w:tcBorders>
              <w:top w:val="single" w:color="000000" w:sz="8" w:space="0"/>
              <w:left w:val="single" w:color="000000" w:sz="8" w:space="0"/>
              <w:bottom w:val="single" w:color="000000" w:sz="8" w:space="0"/>
              <w:right w:val="single" w:color="000000" w:sz="8" w:space="0"/>
            </w:tcBorders>
          </w:tcPr>
          <w:p>
            <w:pPr>
              <w:widowControl/>
              <w:spacing w:line="520" w:lineRule="exact"/>
              <w:ind w:firstLine="320" w:firstLineChars="100"/>
              <w:jc w:val="center"/>
              <w:rPr>
                <w:rFonts w:hint="eastAsia" w:ascii="仿宋_GB2312" w:hAnsi="仿宋" w:eastAsia="仿宋_GB2312" w:cs="仿宋"/>
                <w:kern w:val="0"/>
                <w:sz w:val="32"/>
                <w:szCs w:val="32"/>
              </w:rPr>
            </w:pPr>
          </w:p>
          <w:p>
            <w:pPr>
              <w:widowControl/>
              <w:spacing w:line="520" w:lineRule="exact"/>
              <w:ind w:firstLine="320" w:firstLineChars="100"/>
              <w:jc w:val="center"/>
              <w:rPr>
                <w:rFonts w:hint="eastAsia" w:ascii="仿宋_GB2312" w:hAnsi="仿宋" w:eastAsia="仿宋_GB2312" w:cs="仿宋"/>
                <w:kern w:val="0"/>
                <w:sz w:val="32"/>
                <w:szCs w:val="32"/>
              </w:rPr>
            </w:pPr>
          </w:p>
          <w:p>
            <w:pPr>
              <w:widowControl/>
              <w:spacing w:line="520" w:lineRule="exact"/>
              <w:ind w:firstLine="320" w:firstLineChars="100"/>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5</w:t>
            </w:r>
          </w:p>
        </w:tc>
        <w:tc>
          <w:tcPr>
            <w:tcW w:w="2006" w:type="dxa"/>
            <w:tcBorders>
              <w:top w:val="single" w:color="000000" w:sz="8" w:space="0"/>
              <w:left w:val="single" w:color="000000" w:sz="8" w:space="0"/>
              <w:bottom w:val="single" w:color="000000" w:sz="8" w:space="0"/>
              <w:right w:val="single" w:color="000000" w:sz="8" w:space="0"/>
            </w:tcBorders>
          </w:tcPr>
          <w:p>
            <w:pPr>
              <w:spacing w:line="520" w:lineRule="exact"/>
              <w:rPr>
                <w:rFonts w:hint="eastAsia" w:ascii="仿宋_GB2312" w:hAnsi="仿宋" w:eastAsia="仿宋_GB2312" w:cs="仿宋"/>
                <w:caps/>
                <w:sz w:val="32"/>
                <w:szCs w:val="32"/>
                <w:lang w:val="en-US" w:eastAsia="zh-CN"/>
              </w:rPr>
            </w:pPr>
          </w:p>
          <w:p>
            <w:pPr>
              <w:spacing w:line="520" w:lineRule="exact"/>
              <w:rPr>
                <w:rFonts w:hint="eastAsia" w:ascii="仿宋_GB2312" w:hAnsi="仿宋" w:eastAsia="仿宋_GB2312" w:cs="仿宋"/>
                <w:caps/>
                <w:sz w:val="32"/>
                <w:szCs w:val="32"/>
                <w:lang w:val="en-US" w:eastAsia="zh-CN"/>
              </w:rPr>
            </w:pPr>
          </w:p>
          <w:p>
            <w:pPr>
              <w:spacing w:line="520" w:lineRule="exact"/>
              <w:rPr>
                <w:rFonts w:hint="eastAsia" w:ascii="仿宋_GB2312" w:hAnsi="仿宋" w:eastAsia="仿宋_GB2312" w:cs="仿宋"/>
                <w:caps/>
                <w:sz w:val="32"/>
                <w:szCs w:val="32"/>
                <w:lang w:val="en-US" w:eastAsia="zh-CN"/>
              </w:rPr>
            </w:pPr>
            <w:r>
              <w:rPr>
                <w:rFonts w:hint="eastAsia" w:ascii="仿宋_GB2312" w:hAnsi="仿宋" w:eastAsia="仿宋_GB2312" w:cs="仿宋"/>
                <w:caps/>
                <w:sz w:val="32"/>
                <w:szCs w:val="32"/>
                <w:lang w:val="en-US" w:eastAsia="zh-CN"/>
              </w:rPr>
              <w:t>同类项目业绩</w:t>
            </w:r>
          </w:p>
        </w:tc>
        <w:tc>
          <w:tcPr>
            <w:tcW w:w="4819" w:type="dxa"/>
            <w:tcBorders>
              <w:top w:val="single" w:color="000000" w:sz="8" w:space="0"/>
              <w:left w:val="single" w:color="000000" w:sz="8" w:space="0"/>
              <w:bottom w:val="single" w:color="000000" w:sz="8" w:space="0"/>
              <w:right w:val="single" w:color="000000" w:sz="8" w:space="0"/>
            </w:tcBorders>
          </w:tcPr>
          <w:p>
            <w:pPr>
              <w:spacing w:line="520" w:lineRule="exact"/>
              <w:rPr>
                <w:rFonts w:hint="eastAsia" w:ascii="仿宋_GB2312" w:hAnsi="仿宋" w:eastAsia="仿宋_GB2312" w:cs="仿宋"/>
                <w:bCs/>
                <w:caps/>
                <w:sz w:val="32"/>
                <w:szCs w:val="32"/>
              </w:rPr>
            </w:pPr>
            <w:r>
              <w:rPr>
                <w:rFonts w:hint="eastAsia" w:ascii="仿宋_GB2312" w:hAnsi="仿宋" w:eastAsia="仿宋_GB2312" w:cs="仿宋"/>
                <w:bCs/>
                <w:caps/>
                <w:sz w:val="32"/>
                <w:szCs w:val="32"/>
              </w:rPr>
              <w:t>投标人有医疗卫生行业、行政事业单位</w:t>
            </w:r>
            <w:r>
              <w:rPr>
                <w:rFonts w:hint="eastAsia" w:ascii="仿宋_GB2312" w:hAnsi="仿宋" w:eastAsia="仿宋_GB2312" w:cs="仿宋"/>
                <w:bCs/>
                <w:caps/>
                <w:sz w:val="32"/>
                <w:szCs w:val="32"/>
                <w:lang w:eastAsia="zh-CN"/>
              </w:rPr>
              <w:t>等</w:t>
            </w:r>
            <w:r>
              <w:rPr>
                <w:rFonts w:hint="eastAsia" w:ascii="仿宋_GB2312" w:hAnsi="仿宋" w:eastAsia="仿宋_GB2312" w:cs="仿宋"/>
                <w:bCs/>
                <w:caps/>
                <w:sz w:val="32"/>
                <w:szCs w:val="32"/>
                <w:lang w:val="en-US" w:eastAsia="zh-CN"/>
              </w:rPr>
              <w:t>安全生产评估</w:t>
            </w:r>
            <w:r>
              <w:rPr>
                <w:rFonts w:hint="eastAsia" w:ascii="仿宋_GB2312" w:hAnsi="仿宋" w:eastAsia="仿宋_GB2312" w:cs="仿宋"/>
                <w:bCs/>
                <w:caps/>
                <w:sz w:val="32"/>
                <w:szCs w:val="32"/>
              </w:rPr>
              <w:t>相关工作业绩每提供一项得</w:t>
            </w:r>
            <w:r>
              <w:rPr>
                <w:rFonts w:hint="eastAsia" w:ascii="仿宋_GB2312" w:hAnsi="仿宋" w:eastAsia="仿宋_GB2312" w:cs="仿宋"/>
                <w:bCs/>
                <w:caps/>
                <w:sz w:val="32"/>
                <w:szCs w:val="32"/>
                <w:lang w:val="en-US" w:eastAsia="zh-CN"/>
              </w:rPr>
              <w:t>2</w:t>
            </w:r>
            <w:r>
              <w:rPr>
                <w:rFonts w:hint="eastAsia" w:ascii="仿宋_GB2312" w:hAnsi="仿宋" w:eastAsia="仿宋_GB2312" w:cs="仿宋"/>
                <w:bCs/>
                <w:caps/>
                <w:sz w:val="32"/>
                <w:szCs w:val="32"/>
              </w:rPr>
              <w:t>分，最高得1</w:t>
            </w:r>
            <w:r>
              <w:rPr>
                <w:rFonts w:hint="eastAsia" w:ascii="仿宋_GB2312" w:hAnsi="仿宋" w:eastAsia="仿宋_GB2312" w:cs="仿宋"/>
                <w:bCs/>
                <w:caps/>
                <w:sz w:val="32"/>
                <w:szCs w:val="32"/>
                <w:lang w:val="en-US" w:eastAsia="zh-CN"/>
              </w:rPr>
              <w:t>0</w:t>
            </w:r>
            <w:r>
              <w:rPr>
                <w:rFonts w:hint="eastAsia" w:ascii="仿宋_GB2312" w:hAnsi="仿宋" w:eastAsia="仿宋_GB2312" w:cs="仿宋"/>
                <w:bCs/>
                <w:caps/>
                <w:sz w:val="32"/>
                <w:szCs w:val="32"/>
              </w:rPr>
              <w:t>分。</w:t>
            </w:r>
          </w:p>
          <w:p>
            <w:pPr>
              <w:spacing w:line="520" w:lineRule="exact"/>
              <w:rPr>
                <w:rFonts w:ascii="仿宋_GB2312" w:hAnsi="仿宋" w:eastAsia="仿宋_GB2312" w:cs="仿宋"/>
                <w:sz w:val="32"/>
                <w:szCs w:val="32"/>
              </w:rPr>
            </w:pPr>
            <w:r>
              <w:rPr>
                <w:rFonts w:hint="eastAsia" w:ascii="仿宋_GB2312" w:hAnsi="仿宋" w:eastAsia="仿宋_GB2312" w:cs="仿宋"/>
                <w:bCs/>
                <w:caps/>
                <w:sz w:val="32"/>
                <w:szCs w:val="32"/>
              </w:rPr>
              <w:t>投标人须提供相关中标通知书或合同关键页。如未按要求提供该项以上证明完整资料的不得分。</w:t>
            </w:r>
          </w:p>
        </w:tc>
        <w:tc>
          <w:tcPr>
            <w:tcW w:w="709" w:type="dxa"/>
            <w:tcBorders>
              <w:top w:val="single" w:color="000000" w:sz="8" w:space="0"/>
              <w:left w:val="single" w:color="000000" w:sz="8" w:space="0"/>
              <w:bottom w:val="single" w:color="000000" w:sz="8" w:space="0"/>
              <w:right w:val="single" w:color="000000" w:sz="8" w:space="0"/>
            </w:tcBorders>
            <w:vAlign w:val="center"/>
          </w:tcPr>
          <w:p>
            <w:pPr>
              <w:widowControl/>
              <w:spacing w:line="520" w:lineRule="exact"/>
              <w:jc w:val="center"/>
              <w:rPr>
                <w:rFonts w:hint="eastAsia" w:ascii="仿宋_GB2312" w:hAnsi="仿宋" w:eastAsia="仿宋_GB2312" w:cs="仿宋"/>
                <w:b/>
                <w:bCs/>
                <w:kern w:val="0"/>
                <w:sz w:val="32"/>
                <w:szCs w:val="32"/>
                <w:lang w:eastAsia="zh-CN"/>
              </w:rPr>
            </w:pPr>
            <w:r>
              <w:rPr>
                <w:rFonts w:hint="eastAsia" w:ascii="仿宋_GB2312" w:hAnsi="仿宋" w:eastAsia="仿宋_GB2312" w:cs="仿宋"/>
                <w:b/>
                <w:bCs/>
                <w:kern w:val="0"/>
                <w:sz w:val="32"/>
                <w:szCs w:val="32"/>
              </w:rPr>
              <w:t>1</w:t>
            </w:r>
            <w:r>
              <w:rPr>
                <w:rFonts w:hint="eastAsia" w:ascii="仿宋_GB2312" w:hAnsi="仿宋" w:eastAsia="仿宋_GB2312" w:cs="仿宋"/>
                <w:b/>
                <w:bCs/>
                <w:kern w:val="0"/>
                <w:sz w:val="32"/>
                <w:szCs w:val="32"/>
                <w:lang w:val="en-US" w:eastAsia="zh-CN"/>
              </w:rPr>
              <w:t>0</w:t>
            </w:r>
          </w:p>
        </w:tc>
        <w:tc>
          <w:tcPr>
            <w:tcW w:w="2048" w:type="dxa"/>
            <w:tcBorders>
              <w:top w:val="single" w:color="000000" w:sz="8" w:space="0"/>
              <w:left w:val="single" w:color="000000" w:sz="8" w:space="0"/>
              <w:bottom w:val="single" w:color="000000" w:sz="8" w:space="0"/>
              <w:right w:val="single" w:color="000000" w:sz="8" w:space="0"/>
            </w:tcBorders>
            <w:vAlign w:val="center"/>
          </w:tcPr>
          <w:p>
            <w:pPr>
              <w:widowControl/>
              <w:spacing w:line="52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863" w:hRule="atLeast"/>
        </w:trPr>
        <w:tc>
          <w:tcPr>
            <w:tcW w:w="678" w:type="dxa"/>
            <w:tcBorders>
              <w:top w:val="single" w:color="000000" w:sz="8" w:space="0"/>
              <w:left w:val="single" w:color="000000" w:sz="8" w:space="0"/>
              <w:bottom w:val="single" w:color="000000" w:sz="8" w:space="0"/>
              <w:right w:val="single" w:color="000000" w:sz="8" w:space="0"/>
            </w:tcBorders>
          </w:tcPr>
          <w:p>
            <w:pPr>
              <w:widowControl/>
              <w:spacing w:line="520" w:lineRule="exact"/>
              <w:ind w:firstLine="320" w:firstLineChars="100"/>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6</w:t>
            </w:r>
          </w:p>
        </w:tc>
        <w:tc>
          <w:tcPr>
            <w:tcW w:w="2006" w:type="dxa"/>
            <w:tcBorders>
              <w:top w:val="single" w:color="000000" w:sz="8" w:space="0"/>
              <w:left w:val="single" w:color="000000" w:sz="8" w:space="0"/>
              <w:bottom w:val="single" w:color="000000" w:sz="8" w:space="0"/>
              <w:right w:val="single" w:color="000000" w:sz="8" w:space="0"/>
            </w:tcBorders>
          </w:tcPr>
          <w:p>
            <w:pPr>
              <w:spacing w:line="520" w:lineRule="exact"/>
              <w:rPr>
                <w:rFonts w:ascii="仿宋_GB2312" w:hAnsi="仿宋" w:eastAsia="仿宋_GB2312" w:cs="仿宋"/>
                <w:caps/>
                <w:sz w:val="32"/>
                <w:szCs w:val="32"/>
              </w:rPr>
            </w:pPr>
            <w:r>
              <w:rPr>
                <w:rFonts w:hint="eastAsia" w:ascii="仿宋_GB2312" w:hAnsi="仿宋" w:eastAsia="仿宋_GB2312" w:cs="仿宋"/>
                <w:caps/>
                <w:sz w:val="32"/>
                <w:szCs w:val="32"/>
              </w:rPr>
              <w:t>售后服务方案</w:t>
            </w:r>
          </w:p>
        </w:tc>
        <w:tc>
          <w:tcPr>
            <w:tcW w:w="4819" w:type="dxa"/>
            <w:tcBorders>
              <w:top w:val="single" w:color="000000" w:sz="8" w:space="0"/>
              <w:left w:val="single" w:color="000000" w:sz="8" w:space="0"/>
              <w:bottom w:val="single" w:color="000000" w:sz="8" w:space="0"/>
              <w:right w:val="single" w:color="000000" w:sz="8" w:space="0"/>
            </w:tcBorders>
          </w:tcPr>
          <w:p>
            <w:pPr>
              <w:pStyle w:val="10"/>
              <w:framePr w:hSpace="0" w:wrap="auto" w:vAnchor="margin" w:hAnchor="text" w:xAlign="left" w:yAlign="inline"/>
              <w:spacing w:line="520" w:lineRule="exact"/>
              <w:rPr>
                <w:rFonts w:hAnsi="仿宋" w:cs="仿宋"/>
                <w:sz w:val="32"/>
                <w:szCs w:val="32"/>
              </w:rPr>
            </w:pPr>
            <w:r>
              <w:rPr>
                <w:rFonts w:hint="eastAsia" w:hAnsi="仿宋" w:cs="仿宋"/>
                <w:sz w:val="32"/>
                <w:szCs w:val="32"/>
              </w:rPr>
              <w:t>专家根据企业制定的售后服务方案横向对比打分。</w:t>
            </w:r>
          </w:p>
        </w:tc>
        <w:tc>
          <w:tcPr>
            <w:tcW w:w="709" w:type="dxa"/>
            <w:tcBorders>
              <w:top w:val="single" w:color="000000" w:sz="8" w:space="0"/>
              <w:left w:val="single" w:color="000000" w:sz="8" w:space="0"/>
              <w:bottom w:val="single" w:color="000000" w:sz="8" w:space="0"/>
              <w:right w:val="single" w:color="000000" w:sz="8" w:space="0"/>
            </w:tcBorders>
            <w:vAlign w:val="center"/>
          </w:tcPr>
          <w:p>
            <w:pPr>
              <w:widowControl/>
              <w:spacing w:line="520" w:lineRule="exact"/>
              <w:jc w:val="center"/>
              <w:rPr>
                <w:rFonts w:ascii="仿宋_GB2312" w:hAnsi="仿宋" w:eastAsia="仿宋_GB2312" w:cs="仿宋"/>
                <w:b/>
                <w:bCs/>
                <w:kern w:val="0"/>
                <w:sz w:val="32"/>
                <w:szCs w:val="32"/>
              </w:rPr>
            </w:pPr>
            <w:r>
              <w:rPr>
                <w:rFonts w:hint="eastAsia" w:ascii="仿宋_GB2312" w:hAnsi="仿宋" w:eastAsia="仿宋_GB2312" w:cs="仿宋"/>
                <w:b/>
                <w:bCs/>
                <w:kern w:val="0"/>
                <w:sz w:val="32"/>
                <w:szCs w:val="32"/>
              </w:rPr>
              <w:t>10</w:t>
            </w:r>
          </w:p>
        </w:tc>
        <w:tc>
          <w:tcPr>
            <w:tcW w:w="2048" w:type="dxa"/>
            <w:tcBorders>
              <w:top w:val="single" w:color="000000" w:sz="8" w:space="0"/>
              <w:left w:val="single" w:color="000000" w:sz="8" w:space="0"/>
              <w:bottom w:val="single" w:color="000000" w:sz="8" w:space="0"/>
              <w:right w:val="single" w:color="000000" w:sz="8" w:space="0"/>
            </w:tcBorders>
            <w:vAlign w:val="center"/>
          </w:tcPr>
          <w:p>
            <w:pPr>
              <w:widowControl/>
              <w:spacing w:line="52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专家打分</w:t>
            </w:r>
          </w:p>
        </w:tc>
      </w:tr>
    </w:tbl>
    <w:p>
      <w:pPr>
        <w:widowControl/>
        <w:spacing w:line="520" w:lineRule="exact"/>
        <w:rPr>
          <w:rFonts w:hint="eastAsia" w:ascii="黑体" w:hAnsi="黑体" w:eastAsia="黑体" w:cs="楷体"/>
          <w:color w:val="000000"/>
          <w:kern w:val="0"/>
          <w:sz w:val="32"/>
          <w:szCs w:val="32"/>
          <w:lang w:bidi="ar"/>
        </w:rPr>
      </w:pPr>
    </w:p>
    <w:p>
      <w:pPr>
        <w:widowControl/>
        <w:spacing w:line="520" w:lineRule="exact"/>
        <w:rPr>
          <w:rFonts w:ascii="黑体" w:hAnsi="黑体" w:eastAsia="黑体" w:cs="楷体"/>
          <w:sz w:val="32"/>
          <w:szCs w:val="32"/>
        </w:rPr>
      </w:pPr>
      <w:r>
        <w:rPr>
          <w:rFonts w:hint="eastAsia" w:ascii="黑体" w:hAnsi="黑体" w:eastAsia="黑体" w:cs="楷体"/>
          <w:color w:val="000000"/>
          <w:kern w:val="0"/>
          <w:sz w:val="32"/>
          <w:szCs w:val="32"/>
          <w:lang w:bidi="ar"/>
        </w:rPr>
        <w:t>二、龙岗中心医院</w:t>
      </w:r>
      <w:r>
        <w:rPr>
          <w:rFonts w:hint="eastAsia" w:ascii="黑体" w:hAnsi="黑体" w:eastAsia="黑体" w:cs="楷体"/>
          <w:color w:val="000000"/>
          <w:kern w:val="0"/>
          <w:sz w:val="32"/>
          <w:szCs w:val="32"/>
          <w:lang w:eastAsia="zh-CN" w:bidi="ar"/>
        </w:rPr>
        <w:t>安全生产</w:t>
      </w:r>
      <w:r>
        <w:rPr>
          <w:rFonts w:hint="eastAsia" w:ascii="黑体" w:hAnsi="黑体" w:eastAsia="黑体" w:cs="楷体"/>
          <w:color w:val="000000"/>
          <w:kern w:val="0"/>
          <w:sz w:val="32"/>
          <w:szCs w:val="32"/>
          <w:lang w:val="en-US" w:eastAsia="zh-CN" w:bidi="ar"/>
        </w:rPr>
        <w:t>标准化建设</w:t>
      </w:r>
      <w:r>
        <w:rPr>
          <w:rFonts w:hint="eastAsia" w:ascii="黑体" w:hAnsi="黑体" w:eastAsia="黑体" w:cs="楷体"/>
          <w:sz w:val="32"/>
          <w:szCs w:val="32"/>
        </w:rPr>
        <w:t>明细清单（详见报价目录）</w:t>
      </w:r>
    </w:p>
    <w:p>
      <w:pPr>
        <w:widowControl/>
        <w:spacing w:line="520" w:lineRule="exact"/>
        <w:rPr>
          <w:rFonts w:hint="eastAsia" w:ascii="黑体" w:hAnsi="黑体" w:eastAsia="黑体" w:cs="楷体"/>
          <w:sz w:val="32"/>
          <w:szCs w:val="32"/>
        </w:rPr>
      </w:pPr>
    </w:p>
    <w:p>
      <w:pPr>
        <w:widowControl/>
        <w:spacing w:line="520" w:lineRule="exact"/>
        <w:rPr>
          <w:rFonts w:ascii="黑体" w:hAnsi="黑体" w:eastAsia="黑体" w:cs="楷体"/>
          <w:sz w:val="32"/>
          <w:szCs w:val="32"/>
        </w:rPr>
      </w:pPr>
      <w:r>
        <w:rPr>
          <w:rFonts w:hint="eastAsia" w:ascii="黑体" w:hAnsi="黑体" w:eastAsia="黑体" w:cs="楷体"/>
          <w:sz w:val="32"/>
          <w:szCs w:val="32"/>
        </w:rPr>
        <w:t>三、本项目预算金额</w:t>
      </w:r>
      <w:r>
        <w:rPr>
          <w:rFonts w:hint="eastAsia" w:ascii="黑体" w:hAnsi="黑体" w:eastAsia="黑体" w:cs="楷体"/>
          <w:sz w:val="32"/>
          <w:szCs w:val="32"/>
          <w:lang w:val="en-US" w:eastAsia="zh-CN"/>
        </w:rPr>
        <w:t>98000</w:t>
      </w:r>
      <w:r>
        <w:rPr>
          <w:rFonts w:hint="eastAsia" w:ascii="黑体" w:hAnsi="黑体" w:eastAsia="黑体" w:cs="楷体"/>
          <w:sz w:val="32"/>
          <w:szCs w:val="32"/>
        </w:rPr>
        <w:t>元。</w:t>
      </w:r>
    </w:p>
    <w:p>
      <w:pPr>
        <w:widowControl/>
        <w:spacing w:line="520" w:lineRule="exact"/>
        <w:ind w:firstLine="640" w:firstLineChars="200"/>
        <w:rPr>
          <w:rFonts w:hint="eastAsia" w:ascii="黑体" w:hAnsi="黑体" w:eastAsia="黑体" w:cs="楷体"/>
          <w:sz w:val="32"/>
          <w:szCs w:val="32"/>
        </w:rPr>
      </w:pPr>
    </w:p>
    <w:p>
      <w:pPr>
        <w:widowControl/>
        <w:spacing w:line="520" w:lineRule="exact"/>
        <w:ind w:left="-850" w:leftChars="-405" w:firstLine="1280" w:firstLineChars="400"/>
        <w:rPr>
          <w:rFonts w:hint="eastAsia" w:ascii="仿宋_GB2312" w:hAnsi="仿宋" w:eastAsia="仿宋_GB2312"/>
          <w:kern w:val="0"/>
          <w:sz w:val="32"/>
          <w:szCs w:val="32"/>
        </w:rPr>
      </w:pPr>
    </w:p>
    <w:p>
      <w:pPr>
        <w:widowControl/>
        <w:spacing w:line="520" w:lineRule="exact"/>
        <w:ind w:left="-850" w:leftChars="-405" w:firstLine="1280" w:firstLineChars="400"/>
        <w:rPr>
          <w:rFonts w:ascii="仿宋_GB2312" w:hAnsi="仿宋" w:eastAsia="仿宋_GB2312"/>
          <w:kern w:val="0"/>
          <w:sz w:val="32"/>
          <w:szCs w:val="32"/>
        </w:rPr>
      </w:pPr>
      <w:bookmarkStart w:id="0" w:name="_GoBack"/>
      <w:r>
        <w:rPr>
          <w:rFonts w:hint="eastAsia" w:ascii="仿宋_GB2312" w:hAnsi="仿宋" w:eastAsia="仿宋_GB2312"/>
          <w:kern w:val="0"/>
          <w:sz w:val="32"/>
          <w:szCs w:val="32"/>
        </w:rPr>
        <w:t xml:space="preserve">投标单位联系人： </w:t>
      </w:r>
    </w:p>
    <w:p>
      <w:pPr>
        <w:widowControl/>
        <w:spacing w:line="520" w:lineRule="exact"/>
        <w:ind w:left="-850" w:leftChars="-405" w:firstLine="1280" w:firstLineChars="400"/>
        <w:rPr>
          <w:rFonts w:hint="eastAsia" w:ascii="仿宋_GB2312" w:hAnsi="仿宋" w:eastAsia="仿宋_GB2312"/>
          <w:kern w:val="0"/>
          <w:sz w:val="32"/>
          <w:szCs w:val="32"/>
          <w:lang w:eastAsia="zh-CN"/>
        </w:rPr>
      </w:pPr>
      <w:r>
        <w:rPr>
          <w:rFonts w:hint="eastAsia" w:ascii="仿宋_GB2312" w:hAnsi="仿宋" w:eastAsia="仿宋_GB2312"/>
          <w:kern w:val="0"/>
          <w:sz w:val="32"/>
          <w:szCs w:val="32"/>
        </w:rPr>
        <w:t>投标单位联系电话</w:t>
      </w:r>
      <w:r>
        <w:rPr>
          <w:rFonts w:hint="eastAsia" w:ascii="仿宋_GB2312" w:hAnsi="仿宋" w:eastAsia="仿宋_GB2312"/>
          <w:kern w:val="0"/>
          <w:sz w:val="32"/>
          <w:szCs w:val="32"/>
          <w:lang w:eastAsia="zh-CN"/>
        </w:rPr>
        <w:t>：</w:t>
      </w:r>
    </w:p>
    <w:bookmarkEnd w:id="0"/>
    <w:p>
      <w:pPr>
        <w:spacing w:line="480" w:lineRule="exact"/>
        <w:rPr>
          <w:rFonts w:ascii="仿宋" w:hAnsi="仿宋" w:eastAsia="仿宋"/>
          <w:color w:val="000000"/>
          <w:sz w:val="30"/>
          <w:szCs w:val="30"/>
        </w:rPr>
      </w:pP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9A"/>
    <w:rsid w:val="00053323"/>
    <w:rsid w:val="0005748D"/>
    <w:rsid w:val="000D1BEE"/>
    <w:rsid w:val="00112027"/>
    <w:rsid w:val="0018383A"/>
    <w:rsid w:val="001C7792"/>
    <w:rsid w:val="001D02F2"/>
    <w:rsid w:val="001D1038"/>
    <w:rsid w:val="003059E6"/>
    <w:rsid w:val="003410DE"/>
    <w:rsid w:val="00636582"/>
    <w:rsid w:val="006E315D"/>
    <w:rsid w:val="006F2DA9"/>
    <w:rsid w:val="007B6654"/>
    <w:rsid w:val="00814A9A"/>
    <w:rsid w:val="00821495"/>
    <w:rsid w:val="008227D9"/>
    <w:rsid w:val="00A22B6D"/>
    <w:rsid w:val="00B57AF2"/>
    <w:rsid w:val="00C05D9D"/>
    <w:rsid w:val="00C64813"/>
    <w:rsid w:val="00CE2A7B"/>
    <w:rsid w:val="00E14B22"/>
    <w:rsid w:val="00F75497"/>
    <w:rsid w:val="00FE45B8"/>
    <w:rsid w:val="01CC3EFA"/>
    <w:rsid w:val="05434147"/>
    <w:rsid w:val="075C3877"/>
    <w:rsid w:val="098636EF"/>
    <w:rsid w:val="0BB30D8F"/>
    <w:rsid w:val="16897B59"/>
    <w:rsid w:val="2141234A"/>
    <w:rsid w:val="308F53BA"/>
    <w:rsid w:val="343C2164"/>
    <w:rsid w:val="36453693"/>
    <w:rsid w:val="3DEB1611"/>
    <w:rsid w:val="3FE74825"/>
    <w:rsid w:val="4881516F"/>
    <w:rsid w:val="57F12727"/>
    <w:rsid w:val="62E312B5"/>
    <w:rsid w:val="68CC4E89"/>
    <w:rsid w:val="697828C0"/>
    <w:rsid w:val="6C127364"/>
    <w:rsid w:val="6E2F02E9"/>
    <w:rsid w:val="78136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3"/>
    <w:basedOn w:val="1"/>
    <w:qFormat/>
    <w:uiPriority w:val="0"/>
    <w:pPr>
      <w:spacing w:after="120"/>
    </w:pPr>
    <w:rPr>
      <w:rFonts w:ascii="Verdana" w:hAnsi="Verdana" w:eastAsia="仿宋_GB2312"/>
      <w:sz w:val="16"/>
      <w:szCs w:val="16"/>
      <w:lang w:eastAsia="en-US"/>
    </w:rPr>
  </w:style>
  <w:style w:type="paragraph" w:styleId="4">
    <w:name w:val="Body Text"/>
    <w:basedOn w:val="1"/>
    <w:uiPriority w:val="0"/>
    <w:pPr>
      <w:spacing w:line="360" w:lineRule="auto"/>
    </w:pPr>
    <w:rPr>
      <w:rFonts w:eastAsia="仿宋_GB2312"/>
      <w:b/>
      <w:bCs/>
      <w:kern w:val="0"/>
      <w:sz w:val="24"/>
      <w:lang w:eastAsia="en-US"/>
    </w:rPr>
  </w:style>
  <w:style w:type="paragraph" w:styleId="5">
    <w:name w:val="Body Text Indent"/>
    <w:basedOn w:val="1"/>
    <w:qFormat/>
    <w:uiPriority w:val="0"/>
    <w:pPr>
      <w:ind w:right="-71" w:rightChars="-34" w:firstLine="540"/>
    </w:pPr>
    <w:rPr>
      <w:rFonts w:cs="宋体"/>
      <w:sz w:val="21"/>
      <w:szCs w:val="21"/>
    </w:rPr>
  </w:style>
  <w:style w:type="paragraph" w:styleId="6">
    <w:name w:val="Body Text Indent 2"/>
    <w:basedOn w:val="1"/>
    <w:qFormat/>
    <w:uiPriority w:val="0"/>
    <w:pPr>
      <w:spacing w:after="120" w:afterLines="0" w:line="480" w:lineRule="auto"/>
      <w:ind w:left="420" w:leftChars="200"/>
    </w:pPr>
    <w:rPr>
      <w:rFonts w:cs="宋体"/>
      <w:sz w:val="21"/>
      <w:szCs w:val="21"/>
    </w:rPr>
  </w:style>
  <w:style w:type="paragraph" w:styleId="7">
    <w:name w:val="Balloon Text"/>
    <w:basedOn w:val="1"/>
    <w:link w:val="17"/>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framePr w:hSpace="180" w:wrap="around" w:vAnchor="text" w:hAnchor="margin" w:xAlign="center" w:y="229"/>
      <w:spacing w:before="120" w:after="120" w:line="340" w:lineRule="exact"/>
      <w:jc w:val="left"/>
    </w:pPr>
    <w:rPr>
      <w:rFonts w:ascii="仿宋_GB2312" w:hAnsi="宋体" w:eastAsia="仿宋_GB2312" w:cs="Times New Roman"/>
      <w:bCs/>
      <w:caps/>
      <w:szCs w:val="21"/>
    </w:rPr>
  </w:style>
  <w:style w:type="paragraph" w:styleId="11">
    <w:name w:val="Normal (Web)"/>
    <w:basedOn w:val="1"/>
    <w:qFormat/>
    <w:uiPriority w:val="0"/>
    <w:pPr>
      <w:widowControl/>
      <w:spacing w:line="300" w:lineRule="atLeast"/>
      <w:jc w:val="left"/>
    </w:pPr>
    <w:rPr>
      <w:rFonts w:ascii="宋体" w:hAnsi="宋体" w:eastAsia="宋体" w:cs="宋体"/>
      <w:kern w:val="0"/>
      <w:sz w:val="24"/>
      <w:szCs w:val="24"/>
    </w:rPr>
  </w:style>
  <w:style w:type="paragraph" w:styleId="14">
    <w:name w:val="List Paragraph"/>
    <w:basedOn w:val="1"/>
    <w:qFormat/>
    <w:uiPriority w:val="34"/>
    <w:pPr>
      <w:ind w:firstLine="420" w:firstLineChars="200"/>
    </w:pPr>
  </w:style>
  <w:style w:type="character" w:customStyle="1" w:styleId="15">
    <w:name w:val="页眉 Char"/>
    <w:basedOn w:val="13"/>
    <w:link w:val="9"/>
    <w:qFormat/>
    <w:uiPriority w:val="99"/>
    <w:rPr>
      <w:sz w:val="18"/>
      <w:szCs w:val="18"/>
    </w:rPr>
  </w:style>
  <w:style w:type="character" w:customStyle="1" w:styleId="16">
    <w:name w:val="页脚 Char"/>
    <w:basedOn w:val="13"/>
    <w:link w:val="8"/>
    <w:qFormat/>
    <w:uiPriority w:val="99"/>
    <w:rPr>
      <w:sz w:val="18"/>
      <w:szCs w:val="18"/>
    </w:rPr>
  </w:style>
  <w:style w:type="character" w:customStyle="1" w:styleId="17">
    <w:name w:val="批注框文本 Char"/>
    <w:basedOn w:val="13"/>
    <w:link w:val="7"/>
    <w:semiHidden/>
    <w:qFormat/>
    <w:uiPriority w:val="99"/>
    <w:rPr>
      <w:sz w:val="18"/>
      <w:szCs w:val="18"/>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xl27"/>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3</Pages>
  <Words>190</Words>
  <Characters>1083</Characters>
  <Lines>9</Lines>
  <Paragraphs>2</Paragraphs>
  <TotalTime>12</TotalTime>
  <ScaleCrop>false</ScaleCrop>
  <LinksUpToDate>false</LinksUpToDate>
  <CharactersWithSpaces>1271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2017-12-14T00:56:00Z</dcterms:created>
  <dc:creator>保卫科</dc:creator>
  <cp:lastModifiedBy>记得--Ynzy</cp:lastModifiedBy>
  <cp:lastPrinted>2020-11-17T08:22:48Z</cp:lastPrinted>
  <dcterms:modified xsi:type="dcterms:W3CDTF">2020-11-17T08:23:00Z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