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autoSpaceDN w:val="0"/>
        <w:spacing w:line="560" w:lineRule="exact"/>
        <w:jc w:val="center"/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  <w:t>“四上”企业标准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autoSpaceDN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规模以上工业：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年主营业务收入2000万元及以上的工业法人单位。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资质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建筑业：</w:t>
      </w:r>
      <w:r>
        <w:rPr>
          <w:rFonts w:hint="eastAsia" w:ascii="仿宋_GB2312" w:hAnsi="仿宋" w:eastAsia="仿宋_GB2312"/>
          <w:sz w:val="32"/>
          <w:szCs w:val="32"/>
        </w:rPr>
        <w:t>辖区内有总承包或专业承包资质的建筑业法人单位。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限额以上批发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零售业：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年主营业务收入2000万元及以上的批发业法人单位；年主营业务收入500万元及以上的零售业法人单位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限额以上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住宿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餐饮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业：</w:t>
      </w:r>
      <w:r>
        <w:rPr>
          <w:rFonts w:hint="eastAsia" w:ascii="仿宋_GB2312" w:hAnsi="仿宋" w:eastAsia="仿宋_GB2312"/>
          <w:sz w:val="32"/>
          <w:szCs w:val="32"/>
        </w:rPr>
        <w:t>年主营业务收入200万元及以上的住宿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餐饮业法人单位。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房地产开发经营业：</w:t>
      </w:r>
      <w:r>
        <w:rPr>
          <w:rFonts w:hint="eastAsia" w:ascii="仿宋_GB2312" w:hAnsi="仿宋" w:eastAsia="仿宋_GB2312"/>
          <w:sz w:val="32"/>
          <w:szCs w:val="32"/>
        </w:rPr>
        <w:t>有开发经营活动的全部房地产开发经营业法人单位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规模以上服务业：</w:t>
      </w: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辖区内年营业收入2000万元及以上服务业法人单位。包括：交通运输、仓储和邮政业，信息传输、软件和信息技术服务业，水利、环境和公共设施管理业三个门类和卫生行业大类。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辖区内年营业收入1000万元及以上服务业法人单位。包括：租赁和商务服务业，科学研究和技术服务业，教育三个门类，以及物业管理、房地产中介服务、房地产租赁经营和其他房地产业四个行业小类。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" w:eastAsia="仿宋_GB2312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辖区内年营业收入500万元及以上服务业法人单位。包括：居民服务、修理和其他服务业，文化、体育和娱乐业两个门类，以及社会工作行业大类。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C1401"/>
    <w:rsid w:val="4F8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2020-09-23T09:44:00Z</dcterms:created>
  <dc:creator>邱彩霞</dc:creator>
  <cp:lastModifiedBy>邱彩霞</cp:lastModifiedBy>
  <dcterms:modified xsi:type="dcterms:W3CDTF">2020-09-23T09:44:52Z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