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left" w:pos="3165"/>
          <w:tab w:val="center" w:pos="4153"/>
        </w:tabs>
        <w:autoSpaceDE w:val="0"/>
        <w:autoSpaceDN w:val="0"/>
        <w:adjustRightInd w:val="0"/>
        <w:spacing w:before="0" w:after="0" w:line="360" w:lineRule="auto"/>
        <w:jc w:val="center"/>
        <w:rPr>
          <w:rFonts w:ascii="华文中宋" w:hAnsi="华文中宋" w:eastAsia="华文中宋"/>
        </w:rPr>
      </w:pPr>
      <w:r>
        <w:rPr>
          <w:rFonts w:ascii="华文中宋" w:hAnsi="华文中宋" w:eastAsia="华文中宋"/>
          <w:kern w:val="0"/>
        </w:rPr>
        <w:t>2020年度</w:t>
      </w:r>
      <w:r>
        <w:rPr>
          <w:rFonts w:hint="eastAsia" w:ascii="华文中宋" w:hAnsi="华文中宋" w:eastAsia="华文中宋"/>
          <w:kern w:val="0"/>
          <w:lang w:val="en-US" w:eastAsia="zh-CN"/>
        </w:rPr>
        <w:t>龙岗区财政局</w:t>
      </w:r>
      <w:r>
        <w:rPr>
          <w:rFonts w:ascii="华文中宋" w:hAnsi="华文中宋" w:eastAsia="华文中宋"/>
          <w:kern w:val="0"/>
        </w:rPr>
        <w:t>政府采购意向公开表</w:t>
      </w:r>
    </w:p>
    <w:tbl>
      <w:tblPr>
        <w:tblStyle w:val="8"/>
        <w:tblW w:w="14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6"/>
        <w:gridCol w:w="944"/>
        <w:gridCol w:w="717"/>
        <w:gridCol w:w="236"/>
        <w:gridCol w:w="732"/>
        <w:gridCol w:w="4081"/>
        <w:gridCol w:w="1800"/>
        <w:gridCol w:w="2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146" w:type="dxa"/>
            <w:tcBorders>
              <w:top w:val="nil"/>
              <w:left w:val="nil"/>
              <w:bottom w:val="single" w:color="auto" w:sz="4" w:space="0"/>
              <w:right w:val="nil"/>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单位名称：</w:t>
            </w:r>
            <w:r>
              <w:rPr>
                <w:rFonts w:hint="eastAsia" w:ascii="宋体" w:hAnsi="宋体" w:cs="宋体"/>
                <w:color w:val="000000"/>
                <w:kern w:val="0"/>
                <w:sz w:val="20"/>
                <w:szCs w:val="20"/>
                <w:lang w:val="en-US" w:eastAsia="zh-CN"/>
              </w:rPr>
              <w:t>深圳市龙岗区财政局</w:t>
            </w:r>
          </w:p>
        </w:tc>
        <w:tc>
          <w:tcPr>
            <w:tcW w:w="944" w:type="dxa"/>
            <w:tcBorders>
              <w:top w:val="nil"/>
              <w:left w:val="nil"/>
              <w:bottom w:val="single" w:color="auto" w:sz="4" w:space="0"/>
              <w:right w:val="nil"/>
            </w:tcBorders>
            <w:shd w:val="clear" w:color="FFFFFF" w:fill="FFFFFF"/>
            <w:vAlign w:val="center"/>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717" w:type="dxa"/>
            <w:tcBorders>
              <w:top w:val="nil"/>
              <w:left w:val="nil"/>
              <w:bottom w:val="single" w:color="auto" w:sz="4" w:space="0"/>
              <w:right w:val="nil"/>
            </w:tcBorders>
            <w:shd w:val="clear" w:color="auto" w:fill="auto"/>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236" w:type="dxa"/>
            <w:tcBorders>
              <w:top w:val="nil"/>
              <w:left w:val="nil"/>
              <w:bottom w:val="single" w:color="auto" w:sz="4" w:space="0"/>
              <w:right w:val="nil"/>
            </w:tcBorders>
            <w:shd w:val="clear" w:color="auto" w:fill="auto"/>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732" w:type="dxa"/>
            <w:tcBorders>
              <w:top w:val="nil"/>
              <w:left w:val="nil"/>
              <w:bottom w:val="single" w:color="auto" w:sz="4" w:space="0"/>
              <w:right w:val="nil"/>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　</w:t>
            </w:r>
          </w:p>
        </w:tc>
        <w:tc>
          <w:tcPr>
            <w:tcW w:w="4081" w:type="dxa"/>
            <w:tcBorders>
              <w:top w:val="nil"/>
              <w:left w:val="nil"/>
              <w:bottom w:val="nil"/>
              <w:right w:val="nil"/>
            </w:tcBorders>
            <w:shd w:val="clear" w:color="auto" w:fill="auto"/>
            <w:vAlign w:val="bottom"/>
          </w:tcPr>
          <w:p>
            <w:pPr>
              <w:widowControl/>
              <w:spacing w:before="0" w:beforeAutospacing="0" w:after="0" w:afterAutospacing="0"/>
              <w:ind w:left="0" w:right="0"/>
              <w:jc w:val="left"/>
              <w:rPr>
                <w:rFonts w:hint="default" w:ascii="宋体" w:hAnsi="宋体" w:eastAsia="Times New Roman" w:cs="宋体"/>
                <w:color w:val="000000"/>
                <w:kern w:val="0"/>
                <w:sz w:val="20"/>
                <w:szCs w:val="20"/>
              </w:rPr>
            </w:pPr>
          </w:p>
        </w:tc>
        <w:tc>
          <w:tcPr>
            <w:tcW w:w="4304" w:type="dxa"/>
            <w:gridSpan w:val="2"/>
            <w:tcBorders>
              <w:top w:val="nil"/>
              <w:left w:val="nil"/>
              <w:bottom w:val="nil"/>
              <w:right w:val="nil"/>
            </w:tcBorders>
            <w:shd w:val="clear" w:color="FFFFFF" w:fill="FFFFFF"/>
            <w:vAlign w:val="center"/>
          </w:tcPr>
          <w:p>
            <w:pPr>
              <w:widowControl/>
              <w:spacing w:before="0" w:beforeAutospacing="0" w:after="0" w:afterAutospacing="0"/>
              <w:ind w:left="0" w:right="200"/>
              <w:jc w:val="righ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部门名称</w:t>
            </w:r>
          </w:p>
        </w:tc>
        <w:tc>
          <w:tcPr>
            <w:tcW w:w="944"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序号</w:t>
            </w:r>
          </w:p>
        </w:tc>
        <w:tc>
          <w:tcPr>
            <w:tcW w:w="1685"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预计采购时间</w:t>
            </w:r>
          </w:p>
        </w:tc>
        <w:tc>
          <w:tcPr>
            <w:tcW w:w="4081"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采购需求概况</w:t>
            </w:r>
          </w:p>
        </w:tc>
        <w:tc>
          <w:tcPr>
            <w:tcW w:w="1800"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采购项目预算金额</w:t>
            </w:r>
          </w:p>
        </w:tc>
        <w:tc>
          <w:tcPr>
            <w:tcW w:w="2504" w:type="dxa"/>
            <w:tcBorders>
              <w:top w:val="single" w:color="auto" w:sz="4" w:space="0"/>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8" w:hRule="atLeast"/>
        </w:trPr>
        <w:tc>
          <w:tcPr>
            <w:tcW w:w="3146" w:type="dxa"/>
            <w:tcBorders>
              <w:top w:val="nil"/>
              <w:left w:val="single" w:color="auto" w:sz="4" w:space="0"/>
              <w:bottom w:val="single" w:color="auto" w:sz="4" w:space="0"/>
              <w:right w:val="single" w:color="auto" w:sz="4" w:space="0"/>
            </w:tcBorders>
            <w:shd w:val="clear" w:color="FFFFFF" w:fill="FFFFFF"/>
            <w:vAlign w:val="center"/>
          </w:tcPr>
          <w:p>
            <w:pPr>
              <w:widowControl/>
              <w:spacing w:before="0" w:beforeAutospacing="0" w:after="0" w:afterAutospacing="0"/>
              <w:ind w:left="0" w:right="0"/>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深圳市龙岗区财政局</w:t>
            </w:r>
          </w:p>
        </w:tc>
        <w:tc>
          <w:tcPr>
            <w:tcW w:w="944"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default" w:ascii="宋体" w:hAnsi="宋体" w:eastAsia="Times New Roman" w:cs="宋体"/>
                <w:color w:val="000000"/>
                <w:kern w:val="0"/>
                <w:sz w:val="20"/>
                <w:szCs w:val="20"/>
              </w:rPr>
            </w:pPr>
          </w:p>
        </w:tc>
        <w:tc>
          <w:tcPr>
            <w:tcW w:w="1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highlight w:val="none"/>
                <w:lang w:val="en-US" w:eastAsia="zh-CN"/>
              </w:rPr>
              <w:t>2020年11月</w:t>
            </w:r>
          </w:p>
        </w:tc>
        <w:tc>
          <w:tcPr>
            <w:tcW w:w="4081" w:type="dxa"/>
            <w:tcBorders>
              <w:top w:val="nil"/>
              <w:left w:val="nil"/>
              <w:right w:val="single" w:color="auto" w:sz="4" w:space="0"/>
            </w:tcBorders>
            <w:shd w:val="clear" w:color="auto" w:fill="auto"/>
            <w:vAlign w:val="center"/>
          </w:tcPr>
          <w:p>
            <w:pPr>
              <w:widowControl/>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eastAsia="Times New Roman" w:cs="宋体"/>
                <w:color w:val="000000"/>
                <w:kern w:val="0"/>
                <w:sz w:val="20"/>
                <w:szCs w:val="20"/>
              </w:rPr>
              <w:t>采购项目名称</w:t>
            </w:r>
            <w:r>
              <w:rPr>
                <w:rFonts w:hint="eastAsia" w:ascii="宋体" w:hAnsi="宋体" w:cs="宋体"/>
                <w:color w:val="000000"/>
                <w:kern w:val="0"/>
                <w:sz w:val="20"/>
                <w:szCs w:val="20"/>
                <w:lang w:eastAsia="zh-CN"/>
              </w:rPr>
              <w:t>：</w:t>
            </w:r>
            <w:r>
              <w:rPr>
                <w:rFonts w:ascii="宋体" w:hAnsi="宋体" w:eastAsia="宋体" w:cs="宋体"/>
                <w:sz w:val="20"/>
                <w:szCs w:val="20"/>
              </w:rPr>
              <w:t>龙岗区国库集中支付代理银行服务采购</w:t>
            </w:r>
            <w:r>
              <w:rPr>
                <w:rFonts w:hint="eastAsia" w:ascii="宋体" w:hAnsi="宋体" w:cs="宋体"/>
                <w:sz w:val="20"/>
                <w:szCs w:val="20"/>
                <w:lang w:eastAsia="zh-CN"/>
              </w:rPr>
              <w:t>；</w:t>
            </w:r>
          </w:p>
          <w:p>
            <w:pPr>
              <w:widowControl/>
              <w:spacing w:before="0" w:beforeAutospacing="0" w:after="0" w:afterAutospacing="0"/>
              <w:ind w:left="0" w:right="0"/>
              <w:jc w:val="left"/>
              <w:rPr>
                <w:rFonts w:hint="eastAsia" w:ascii="宋体" w:hAnsi="宋体" w:cs="宋体"/>
                <w:color w:val="000000"/>
                <w:kern w:val="0"/>
                <w:sz w:val="20"/>
                <w:szCs w:val="20"/>
                <w:lang w:eastAsia="zh-CN"/>
              </w:rPr>
            </w:pPr>
            <w:r>
              <w:rPr>
                <w:rFonts w:hint="eastAsia" w:ascii="宋体" w:hAnsi="宋体" w:eastAsia="Times New Roman" w:cs="宋体"/>
                <w:color w:val="000000"/>
                <w:kern w:val="0"/>
                <w:sz w:val="20"/>
                <w:szCs w:val="20"/>
              </w:rPr>
              <w:t>主要功能</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国库集中支付代理银行提供代理财政直接支付、授权支付等业务</w:t>
            </w:r>
            <w:r>
              <w:rPr>
                <w:rFonts w:hint="eastAsia" w:ascii="宋体" w:hAnsi="宋体" w:eastAsia="Times New Roman" w:cs="宋体"/>
                <w:color w:val="000000"/>
                <w:kern w:val="0"/>
                <w:sz w:val="20"/>
                <w:szCs w:val="20"/>
              </w:rPr>
              <w:t>，</w:t>
            </w:r>
            <w:r>
              <w:rPr>
                <w:rFonts w:hint="eastAsia" w:ascii="宋体" w:hAnsi="宋体" w:cs="宋体"/>
                <w:color w:val="000000"/>
                <w:kern w:val="0"/>
                <w:sz w:val="20"/>
                <w:szCs w:val="20"/>
                <w:lang w:val="en-US" w:eastAsia="zh-CN"/>
              </w:rPr>
              <w:t>反馈真实的财政支付信息，并提供实时查询等服务；中标单位服务期限为3年</w:t>
            </w:r>
            <w:r>
              <w:rPr>
                <w:rFonts w:hint="eastAsia" w:ascii="宋体" w:hAnsi="宋体" w:eastAsia="Times New Roman" w:cs="宋体"/>
                <w:color w:val="000000"/>
                <w:kern w:val="0"/>
                <w:sz w:val="20"/>
                <w:szCs w:val="20"/>
                <w:highlight w:val="none"/>
              </w:rPr>
              <w:t>（招一管三）</w:t>
            </w:r>
            <w:r>
              <w:rPr>
                <w:rFonts w:hint="eastAsia" w:ascii="宋体" w:hAnsi="宋体" w:cs="宋体"/>
                <w:color w:val="000000"/>
                <w:kern w:val="0"/>
                <w:sz w:val="20"/>
                <w:szCs w:val="20"/>
                <w:lang w:eastAsia="zh-CN"/>
              </w:rPr>
              <w:t>；</w:t>
            </w:r>
          </w:p>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绩效目标</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保障国库集中支付相关业务正常开展，减少财政资金的周转环节和流动中的沉淀，提高财政资金的使用效率</w:t>
            </w:r>
            <w:r>
              <w:rPr>
                <w:rFonts w:hint="eastAsia" w:ascii="宋体" w:hAnsi="宋体" w:eastAsia="Times New Roman" w:cs="宋体"/>
                <w:color w:val="000000"/>
                <w:kern w:val="0"/>
                <w:sz w:val="20"/>
                <w:szCs w:val="20"/>
              </w:rPr>
              <w:t>。</w:t>
            </w:r>
          </w:p>
        </w:tc>
        <w:tc>
          <w:tcPr>
            <w:tcW w:w="1800" w:type="dxa"/>
            <w:tcBorders>
              <w:top w:val="nil"/>
              <w:left w:val="nil"/>
              <w:bottom w:val="single" w:color="auto" w:sz="4" w:space="0"/>
              <w:right w:val="single" w:color="auto" w:sz="4" w:space="0"/>
            </w:tcBorders>
            <w:shd w:val="clear" w:color="FFFFFF" w:fill="FFFFFF"/>
            <w:vAlign w:val="center"/>
          </w:tcPr>
          <w:p>
            <w:pPr>
              <w:widowControl/>
              <w:spacing w:before="0" w:beforeAutospacing="0" w:after="0" w:afterAutospacing="0"/>
              <w:ind w:left="0" w:right="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550</w:t>
            </w:r>
          </w:p>
        </w:tc>
        <w:tc>
          <w:tcPr>
            <w:tcW w:w="2504" w:type="dxa"/>
            <w:tcBorders>
              <w:top w:val="nil"/>
              <w:left w:val="nil"/>
              <w:right w:val="single" w:color="auto" w:sz="4" w:space="0"/>
            </w:tcBorders>
            <w:shd w:val="clear" w:color="FFFFFF" w:fill="FFFFFF"/>
            <w:vAlign w:val="center"/>
          </w:tcPr>
          <w:p>
            <w:pPr>
              <w:spacing w:before="0" w:beforeAutospacing="0" w:after="0" w:afterAutospacing="0"/>
              <w:ind w:left="0" w:right="0"/>
              <w:jc w:val="left"/>
              <w:rPr>
                <w:rFonts w:hint="eastAsia" w:ascii="宋体" w:hAnsi="宋体" w:eastAsia="Times New Roman" w:cs="宋体"/>
                <w:color w:val="000000"/>
                <w:kern w:val="0"/>
                <w:sz w:val="20"/>
                <w:szCs w:val="20"/>
                <w:highlight w:val="none"/>
              </w:rPr>
            </w:pPr>
            <w:r>
              <w:rPr>
                <w:rFonts w:hint="eastAsia" w:ascii="宋体" w:hAnsi="宋体" w:eastAsia="Times New Roman" w:cs="宋体"/>
                <w:color w:val="000000"/>
                <w:kern w:val="0"/>
                <w:sz w:val="20"/>
                <w:szCs w:val="20"/>
                <w:highlight w:val="none"/>
              </w:rPr>
              <w:t>本项目</w:t>
            </w:r>
            <w:r>
              <w:rPr>
                <w:rFonts w:hint="eastAsia" w:ascii="宋体" w:hAnsi="宋体" w:cs="宋体"/>
                <w:color w:val="000000"/>
                <w:kern w:val="0"/>
                <w:sz w:val="20"/>
                <w:szCs w:val="20"/>
                <w:highlight w:val="none"/>
                <w:lang w:val="en-US" w:eastAsia="zh-CN"/>
              </w:rPr>
              <w:t>为资格招标，</w:t>
            </w:r>
            <w:r>
              <w:rPr>
                <w:rFonts w:hint="eastAsia" w:ascii="宋体" w:hAnsi="宋体" w:eastAsia="Times New Roman" w:cs="宋体"/>
                <w:color w:val="000000"/>
                <w:kern w:val="0"/>
                <w:sz w:val="20"/>
                <w:szCs w:val="20"/>
                <w:highlight w:val="none"/>
              </w:rPr>
              <w:t>可能延续上年合同</w:t>
            </w:r>
            <w:r>
              <w:rPr>
                <w:rFonts w:hint="eastAsia" w:ascii="宋体" w:hAnsi="宋体" w:cs="宋体"/>
                <w:color w:val="000000"/>
                <w:kern w:val="0"/>
                <w:sz w:val="20"/>
                <w:szCs w:val="20"/>
                <w:highlight w:val="none"/>
                <w:lang w:eastAsia="zh-CN"/>
              </w:rPr>
              <w:t>。</w:t>
            </w:r>
          </w:p>
          <w:p>
            <w:pPr>
              <w:spacing w:before="0" w:beforeAutospacing="0" w:after="0" w:afterAutospacing="0"/>
              <w:ind w:left="0" w:right="0"/>
              <w:jc w:val="left"/>
              <w:rPr>
                <w:rFonts w:hint="eastAsia" w:ascii="宋体" w:hAnsi="宋体" w:eastAsia="宋体" w:cs="宋体"/>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4160" w:type="dxa"/>
            <w:gridSpan w:val="8"/>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ind w:left="0" w:right="0"/>
              <w:jc w:val="left"/>
              <w:rPr>
                <w:rFonts w:hint="default" w:ascii="宋体" w:hAnsi="宋体" w:eastAsia="Times New Roman" w:cs="宋体"/>
                <w:color w:val="000000"/>
                <w:kern w:val="0"/>
                <w:sz w:val="20"/>
                <w:szCs w:val="20"/>
              </w:rPr>
            </w:pPr>
            <w:r>
              <w:rPr>
                <w:rFonts w:hint="eastAsia" w:ascii="宋体" w:hAnsi="宋体" w:eastAsia="Times New Roman" w:cs="宋体"/>
                <w:color w:val="000000"/>
                <w:kern w:val="0"/>
                <w:sz w:val="20"/>
                <w:szCs w:val="20"/>
              </w:rPr>
              <w:t>采购单位咨询电话：0755-</w:t>
            </w:r>
            <w:r>
              <w:rPr>
                <w:rFonts w:hint="eastAsia" w:ascii="宋体" w:hAnsi="宋体" w:cs="宋体"/>
                <w:color w:val="000000"/>
                <w:kern w:val="0"/>
                <w:sz w:val="20"/>
                <w:szCs w:val="20"/>
                <w:lang w:val="en-US" w:eastAsia="zh-CN"/>
              </w:rPr>
              <w:t>28922382</w:t>
            </w:r>
            <w:r>
              <w:rPr>
                <w:rFonts w:hint="eastAsia" w:ascii="宋体" w:hAnsi="宋体" w:eastAsia="Times New Roman" w:cs="宋体"/>
                <w:color w:val="000000"/>
                <w:kern w:val="0"/>
                <w:sz w:val="20"/>
                <w:szCs w:val="20"/>
              </w:rPr>
              <w:t>，联系人：</w:t>
            </w:r>
            <w:r>
              <w:rPr>
                <w:rFonts w:hint="eastAsia" w:ascii="宋体" w:hAnsi="宋体" w:cs="宋体"/>
                <w:color w:val="000000"/>
                <w:kern w:val="0"/>
                <w:sz w:val="20"/>
                <w:szCs w:val="20"/>
                <w:lang w:val="en-US" w:eastAsia="zh-CN"/>
              </w:rPr>
              <w:t>彭良旺</w:t>
            </w:r>
          </w:p>
        </w:tc>
      </w:tr>
    </w:tbl>
    <w:p>
      <w:pPr>
        <w:widowControl/>
        <w:jc w:val="left"/>
      </w:pPr>
      <w:r>
        <w:rPr>
          <w:rFonts w:hint="eastAsia"/>
        </w:rPr>
        <w:t>注：1.本表反映本部门（含所属预算单位）按政府采购项目实施的集中采购目录以内或者</w:t>
      </w:r>
      <w:bookmarkStart w:id="0" w:name="_GoBack"/>
      <w:bookmarkEnd w:id="0"/>
      <w:r>
        <w:rPr>
          <w:rFonts w:hint="eastAsia"/>
        </w:rPr>
        <w:t>集中采购限额标准以上的货物、工程、服务采购项目，不包括以电商采购、预选采购、定点采购、网上竞价等方式实施的小额零星采购和由集中采购机构统一组织的批量集中采购项目等。</w:t>
      </w:r>
    </w:p>
    <w:p>
      <w:pPr>
        <w:widowControl/>
        <w:jc w:val="left"/>
      </w:pPr>
      <w:r>
        <w:rPr>
          <w:rFonts w:hint="eastAsia"/>
        </w:rPr>
        <w:t>2.本次公开的采购意向是本部门政府采购工作的初步安排，具体采购项目情况以相关采购公告和采购文件为准。</w:t>
      </w:r>
    </w:p>
    <w:p>
      <w:pPr>
        <w:widowControl/>
        <w:jc w:val="left"/>
        <w:rPr>
          <w:sz w:val="28"/>
          <w:szCs w:val="28"/>
        </w:rPr>
      </w:pPr>
      <w:r>
        <w:rPr>
          <w:rFonts w:hint="eastAsia"/>
        </w:rPr>
        <w:t>3.长期货物、服务类项目可能延续上年合同的，应在备注栏注明。</w:t>
      </w:r>
    </w:p>
    <w:p>
      <w:pPr>
        <w:widowControl/>
        <w:jc w:val="right"/>
        <w:rPr>
          <w:rFonts w:hint="eastAsia" w:ascii="仿宋" w:hAnsi="仿宋" w:eastAsia="仿宋"/>
          <w:sz w:val="28"/>
          <w:szCs w:val="28"/>
          <w:lang w:val="en-US" w:eastAsia="zh-CN"/>
        </w:rPr>
      </w:pPr>
    </w:p>
    <w:p>
      <w:pPr>
        <w:widowControl/>
        <w:jc w:val="right"/>
        <w:rPr>
          <w:sz w:val="28"/>
          <w:szCs w:val="28"/>
        </w:rPr>
      </w:pPr>
      <w:r>
        <w:rPr>
          <w:rFonts w:hint="eastAsia" w:ascii="仿宋" w:hAnsi="仿宋" w:eastAsia="仿宋"/>
          <w:sz w:val="28"/>
          <w:szCs w:val="28"/>
          <w:lang w:val="en-US" w:eastAsia="zh-CN"/>
        </w:rPr>
        <w:t>深圳市龙岗区财政局</w:t>
      </w:r>
      <w:r>
        <w:rPr>
          <w:rFonts w:hint="eastAsia"/>
          <w:sz w:val="28"/>
          <w:szCs w:val="28"/>
        </w:rPr>
        <w:t xml:space="preserve"> </w:t>
      </w:r>
    </w:p>
    <w:p>
      <w:pPr>
        <w:widowControl/>
        <w:jc w:val="right"/>
      </w:pPr>
      <w:r>
        <w:rPr>
          <w:rFonts w:hint="eastAsia" w:ascii="仿宋" w:hAnsi="仿宋" w:eastAsia="仿宋"/>
          <w:sz w:val="28"/>
          <w:szCs w:val="28"/>
        </w:rPr>
        <w:t xml:space="preserve">  </w:t>
      </w:r>
      <w:r>
        <w:rPr>
          <w:rFonts w:hint="eastAsia" w:ascii="仿宋" w:hAnsi="仿宋" w:eastAsia="仿宋"/>
          <w:sz w:val="28"/>
          <w:szCs w:val="28"/>
          <w:lang w:val="en-US" w:eastAsia="zh-CN"/>
        </w:rPr>
        <w:t>2020</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t>1</w:t>
                          </w:r>
                          <w:r>
                            <w:fldChar w:fldCharType="end"/>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5ba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69GeMqaW0l0iJefoEU8md/YmcRfZk0JcvCWIUp05fbt3VU2aqPNpu&#10;ttuGQopiy4VwxOvziCk/afCsGB1HGl/tqjx/TvmauqSUagEerXPkl60LfzgIs3hE4X7lWKw8HaaZ&#10;+AH6C+kZafIdD7SanLnnQI0tS7IYuBiHxThFtMeBqK0rrxTvT5lIVG6lwhV2Lkwjq+rm9So78fu9&#10;Zr3+BP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PtROW2hAQAATAMAAA4AAAAAAAAAAQAg&#10;AAAAHgEAAGRycy9lMm9Eb2MueG1sUEsFBgAAAAAGAAYAWQEAADE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t>1</w:t>
                    </w:r>
                    <w: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B46D8"/>
    <w:rsid w:val="12DA401C"/>
    <w:rsid w:val="41513C00"/>
    <w:rsid w:val="65306464"/>
    <w:rsid w:val="67855C2A"/>
    <w:rsid w:val="757700D1"/>
    <w:rsid w:val="79FB46D8"/>
    <w:rsid w:val="7BA5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uiPriority w:val="0"/>
    <w:rPr>
      <w:color w:val="800080"/>
      <w:sz w:val="20"/>
      <w:szCs w:val="20"/>
      <w:u w:val="single"/>
    </w:rPr>
  </w:style>
  <w:style w:type="character" w:styleId="7">
    <w:name w:val="Hyperlink"/>
    <w:basedOn w:val="5"/>
    <w:qFormat/>
    <w:uiPriority w:val="0"/>
    <w:rPr>
      <w:color w:val="0000FF"/>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2020-08-27T02:50:00Z</dcterms:created>
  <dc:creator>韩旭</dc:creator>
  <cp:lastModifiedBy>廖夏荷</cp:lastModifiedBy>
  <dcterms:modified xsi:type="dcterms:W3CDTF">2020-08-31T02:57:32Z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