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center"/>
        <w:rPr>
          <w:rFonts w:hint="eastAsia" w:ascii="方正小标宋简体" w:hAnsi="方正小标宋简体" w:eastAsia="方正小标宋简体" w:cs="方正小标宋简体"/>
          <w:i w:val="0"/>
          <w:caps w:val="0"/>
          <w:color w:val="auto"/>
          <w:spacing w:val="0"/>
          <w:sz w:val="44"/>
          <w:szCs w:val="44"/>
        </w:rPr>
      </w:pPr>
      <w:bookmarkStart w:id="0" w:name="_GoBack"/>
      <w:r>
        <w:rPr>
          <w:rFonts w:hint="eastAsia" w:ascii="方正小标宋简体" w:hAnsi="方正小标宋简体" w:eastAsia="方正小标宋简体" w:cs="方正小标宋简体"/>
          <w:i w:val="0"/>
          <w:caps w:val="0"/>
          <w:color w:val="auto"/>
          <w:spacing w:val="0"/>
          <w:sz w:val="44"/>
          <w:szCs w:val="44"/>
          <w:bdr w:val="none" w:color="auto" w:sz="0" w:space="0"/>
          <w:shd w:val="clear" w:fill="FFFFFF"/>
        </w:rPr>
        <w:t>2020年龙岗区区级重点实验室建设指南</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4"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rPr>
        <w:t>　　一、研究方向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4"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rPr>
        <w:t>　　以开展基础与应用基础研究、培养人才、支撑产业和社会发展为目标的区级重点实验室建设。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4"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rPr>
        <w:t>　　重点研究领域：新一代信息技术、高端装备制造、绿色低碳、生物医药、数字经济、新材料、新能源、海洋经济。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4"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rPr>
        <w:t>　　二、建设要求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4"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rPr>
        <w:t>　　（一）建设单位是在龙岗区注册、纳税，或登记地址在龙岗区的具有独立法人资格的事业单位、科研机构、高等院校。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4"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rPr>
        <w:t>　　（二）实验室有清晰的定位和目标，研究方向明确，研究内容具有前瞻性和特色，且与实验室名称相符合。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4"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rPr>
        <w:t>　　（三）有高水平的实验室主任、副主任、学术/技术带头人和规模适度、知识结构合理的科研队伍。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4"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rPr>
        <w:t>　　（四）具备较强科研实力，原则上应具备以下条件：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4"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rPr>
        <w:t>　　1.实验室成员近2年（2018年1月1日——2019年12月31日，下同）被SCI、EI、ISTP、ISR等收录的论文及获得授权知识产权（包括发明、实用新型、非简单改变产品图案和形状的外观设计、软件著作权、集成电路布图设计专有权、植物新品种）合计不少于10项，其中被SCI、EI收录的期刊论文及授权发明专利、软件著作权、集成电路布图设计专有权、植物新品种总计不少于5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4"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rPr>
        <w:t>　　2.院校类实验室应在本学科或领域中具有国内领先水平或特色，具备承担市级及以上重大科研项目的能力，实验室成员近2年以依托单位名义主持承担新立项的与实验室研究方向相关的市级及以上科研项目不少于2项，归属于依托单位的立项总金额在100万元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4"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rPr>
        <w:t>　　3.具备良好的科学研究和学术交流条件，有合理的管理体制和运行机制，有相对集中的科研实验场地。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4"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rPr>
        <w:t>　　三、评估与考核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4"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rPr>
        <w:t>　　对区级重点实验室，实施长期动态管理。主管部门制定考核评估体系进行定期评估，3年为一个评估周期。评估结果分“优秀”、“良好”、“合格”、“不合格”四个等级。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4"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rPr>
        <w:t>　　对出现违反科学伦理准则、科技安全或到期拒不参与评估的实验室，直接撤销其区级重点实验室称号。对评估结果为“不合格”的实验室责令其整改，整改期不超过一年；整改期满后复评结果“不合格”的，撤销其区级重点实验室称号。撤销区级重点实验室称号的依托单位3年内不得在同一领域申报区级重点实验室建设扶持。</w:t>
      </w:r>
    </w:p>
    <w:p>
      <w:pPr>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04031"/>
    <w:rsid w:val="39704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2020-07-23T01:33:00Z</dcterms:created>
  <dc:creator>李莼</dc:creator>
  <cp:lastModifiedBy>李莼</cp:lastModifiedBy>
  <dcterms:modified xsi:type="dcterms:W3CDTF">2020-07-23T01:35:01Z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