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hint="eastAsia" w:ascii="黑体" w:hAnsi="黑体" w:eastAsia="黑体"/>
          <w:snapToGrid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44"/>
          <w:szCs w:val="44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44"/>
          <w:szCs w:val="44"/>
        </w:rPr>
        <w:t>年深圳技能大赛——龙岗区职业技能竞赛项目一览表</w:t>
      </w:r>
      <w:bookmarkEnd w:id="0"/>
    </w:p>
    <w:tbl>
      <w:tblPr>
        <w:tblStyle w:val="8"/>
        <w:tblW w:w="15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69"/>
        <w:gridCol w:w="1446"/>
        <w:gridCol w:w="7016"/>
        <w:gridCol w:w="2908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tblHeader/>
          <w:jc w:val="center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z w:val="24"/>
                <w:szCs w:val="24"/>
              </w:rPr>
              <w:t>竞赛项目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z w:val="24"/>
                <w:szCs w:val="24"/>
              </w:rPr>
              <w:t>承办单位</w:t>
            </w:r>
          </w:p>
        </w:tc>
        <w:tc>
          <w:tcPr>
            <w:tcW w:w="7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z w:val="24"/>
                <w:szCs w:val="24"/>
              </w:rPr>
              <w:t>竞赛标准及方式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z w:val="24"/>
                <w:szCs w:val="24"/>
              </w:rPr>
              <w:t>报名条件及报名材料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sz w:val="24"/>
                <w:szCs w:val="24"/>
              </w:rPr>
              <w:t>报名地点及联系方式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5" w:hRule="atLeast"/>
          <w:jc w:val="center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中式烹调师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（四级）（客家菜方向）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深圳市龙岗区质量技术协会</w:t>
            </w:r>
          </w:p>
        </w:tc>
        <w:tc>
          <w:tcPr>
            <w:tcW w:w="7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  <w:t>（一）竞赛分初赛和决赛两个阶段进行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1．初赛为理论知识竞赛，采取闭卷作答方式进行，竞赛时间为120分钟，满分为100分，60分为合格。初赛成绩排名前40名的选手进入决赛。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2．决赛为实操考核，以现场实际操作的方式进行，选手在规定时间内完成规定项目，满分为100分，60分为合格。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3．成绩计算：按照初赛占30%，决赛占70%计算综合成绩（若综合成绩相同，以决赛成绩高分者为先，若决赛成绩也相同，以决赛完成时间较短者为先）。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  <w:t>（二）表彰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1.对竞赛成绩前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名的选手进行表彰奖励，分别设置一等奖1名，二等奖2名，三等奖3名，优胜奖3名，表彰人数原则上不超过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实际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参加决赛人数的30%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对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</w:rPr>
              <w:t>理论知识和实际操作成绩均合格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的前6名选手授予“龙岗区技术能手”荣誉称号。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</w:rPr>
              <w:t>2．理论知识和实际操作成绩均合格且最终排名靠前的选手，由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  <w:lang w:val="en-US" w:eastAsia="zh-CN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</w:rPr>
              <w:t>市人力资源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  <w:lang w:val="en-US" w:eastAsia="zh-CN"/>
              </w:rPr>
              <w:t>和社会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</w:rPr>
              <w:t>保障局按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  <w:lang w:val="en-US" w:eastAsia="zh-CN"/>
              </w:rPr>
              <w:t>相关政策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</w:rPr>
              <w:t>规定核发相应的职业资格证书，获发证书选手人数不超过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  <w:lang w:val="en-US" w:eastAsia="zh-CN"/>
              </w:rPr>
              <w:t>实际参加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</w:rPr>
              <w:t>决赛人数的40%，且不超过20名。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  <w:t>（一）报名条件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年满16周岁，未取得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中式烹调师高级及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以上职业资格证书，且符合以下条件之一：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1.龙岗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户籍相关从业人员；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2.龙岗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企业相关从业人员。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  <w:t>（二）报名材料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1.《2020年深圳技能大赛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龙岗区职业技能竞赛报名表》；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2.身份证复印件（验原件）；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3.提供从事餐饮行业相关工作的证明；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近期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大一寸免冠白底彩色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证件照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2张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及电子版。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1．龙岗区中心城清林中路209号人力资源服务大厦6楼601室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联系人：罗锦贤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电  话：28219051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传  真：28436958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2.深圳市龙岗区龙城街道龙福一村综合楼3楼服务大厅307办公室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联系人：叶绮文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电  话：28948320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3．深圳市龙岗区龙城街道龙西中路1号5楼龙岗区质量技术协会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联系人：杨恩辉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电  话：28999186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 xml:space="preserve">        84508501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3" w:hRule="atLeast"/>
          <w:jc w:val="center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3D打印技术应用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深圳技师学院</w:t>
            </w:r>
          </w:p>
        </w:tc>
        <w:tc>
          <w:tcPr>
            <w:tcW w:w="7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  <w:t>（一）竞赛分初赛和决赛两个阶段进行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1．初赛为理论知识竞赛，采取闭卷作答方式进行，竞赛时间为120分钟，满分为100分，60分为合格。初赛成绩排名前30名的选手进入决赛。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2．决赛为实操考核，以现场实际操作的方式进行，选手在规定时间内完成规定项目，满分为100分，60分为合格。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3．成绩计算：按照初赛占20%，决赛占80%计算综合成绩（若综合成绩相同，以决赛成绩高分者为先，若决赛成绩也相同，以决赛完成时间较短者为先）。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  <w:t>（二）表彰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1.对竞赛成绩前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名的选手进行表彰奖励，分别设置一等奖1名，二等奖2名，三等奖3名，优胜奖3名，表彰人数原则上不超过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实际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参加决赛人数的30%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对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</w:rPr>
              <w:t>理论知识和实际操作成绩均合格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的前6名选手授予“龙岗区技术能手”荣誉称号。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  <w:t>（一）报名条件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年满16周岁，且符合以下条件之一：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1.龙岗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户籍相关从业人员；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2.龙岗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企业相关从业人员。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  <w:t>（二）报名材料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1.《2020年深圳技能大赛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龙岗区职业技能竞赛报名表》；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2.身份证复印件（验原件）；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3.提供从事制造行业相关工作的证明；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近期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大一寸免冠白底彩色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证件照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2张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及电子版。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1．龙岗区中心城清林中路209号人力资源服务大厦6楼601室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联系人：罗锦贤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电  话：28219051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传  真：28436958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1"/>
                <w:szCs w:val="21"/>
              </w:rPr>
              <w:t>2．龙岗区龙岗街道协力路深圳技师学院东门111室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联系人：李军民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电  话：83778970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6" w:hRule="atLeast"/>
          <w:jc w:val="center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贵金属首饰检验员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深圳市金质金银珠宝检验研究中心有限公司/深圳市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龙岗区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人力资源经理人协会</w:t>
            </w:r>
          </w:p>
        </w:tc>
        <w:tc>
          <w:tcPr>
            <w:tcW w:w="7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  <w:t>（一）竞赛分初赛和决赛两个阶段进行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1．初赛为理论知识竞赛，采取闭卷作答方式进行，竞赛时间为120分钟，满分为100分，60分为合格。初赛成绩排名前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名的选手进入决赛。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2．决赛为实操考核，以现场实际操作的方式进行，选手在规定时间内完成规定项目，满分为100分，60分为合格。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3．成绩计算：按照初赛占30%，决赛占70%计算综合成绩（若综合成绩相同，以决赛成绩高分者为先，若决赛成绩也相同，以决赛完成时间较短者为先）。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  <w:t>（二）表彰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1.对竞赛成绩前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名的选手进行表彰奖励，分别设置一等奖1名，二等奖2名，三等奖3名，优胜奖3名，表彰人数原则上不超过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实际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参加决赛人数的30%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对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</w:rPr>
              <w:t>理论知识和实际操作成绩均合格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的前6名选手授予“龙岗区技术能手”荣誉称号。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  <w:t>（一）报名条件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年满16周岁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且符合以下条件之一：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1.龙岗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户籍相关从业人员；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2.龙岗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企业相关从业人员。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  <w:t>（二）报名材料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1.《2020年深圳技能大赛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龙岗区职业技能竞赛报名表》；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2.身份证复印件（验原件）；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3.提供从事珠宝行业相关工作的证明；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近期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大一寸免冠白底彩色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证件照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2张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及电子版。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1．龙岗区中心城清林中路209号人力资源服务大厦6楼601室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联系人：罗锦贤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电  话：28219051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传  真：28436958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2"/>
                <w:sz w:val="21"/>
                <w:szCs w:val="21"/>
              </w:rPr>
              <w:t>2．龙岗区南湾街道布澜路31号李朗珠宝园b5栋一楼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联系人：雷亚莉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电  话：82693109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龙岗区中心城清林中路209号人力资源服务大厦608室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联系人：朱  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电  话：28685895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6" w:hRule="atLeast"/>
          <w:jc w:val="center"/>
        </w:trPr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无人机装调工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全球鹰（深圳）无人机有限公司</w:t>
            </w:r>
          </w:p>
        </w:tc>
        <w:tc>
          <w:tcPr>
            <w:tcW w:w="7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sz w:val="21"/>
                <w:szCs w:val="21"/>
              </w:rPr>
              <w:t>（一）竞赛分初赛和决赛两个阶段进行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1．初赛为理论知识竞赛，采取闭卷作答方式进行，竞赛时间为120分钟，满分为100分，60分为合格。初赛成绩排名前20名的选手进入决赛。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2．决赛为实操考核，以现场实际操作的方式进行，选手在规定时间内完成规定项目，满分为100分，60分为合格。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3．成绩计算：按照初赛占30%，决赛占70%计算综合成绩（若综合成绩相同，以决赛成绩高分者为先，若决赛成绩也相同，以决赛完成时间较短者为先）。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sz w:val="21"/>
                <w:szCs w:val="21"/>
              </w:rPr>
              <w:t>（二）表彰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1．对竞赛成绩前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名的选手进行表彰奖励，分别设置一等奖1名，二等奖2名，三等奖3名，表彰人数原则上不超过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实际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参加决赛人数的30%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对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</w:rPr>
              <w:t>理论知识和实际操作成绩均合格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的前6名选手授予“龙岗区技术能手”荣誉称号。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  <w:t>（一）报名条件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年满16周岁，且符合以下条件之一：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1.龙岗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户籍相关从业人员；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2.龙岗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企业相关从业人员。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  <w:t>（二）报名材料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1.《2020年深圳技能大赛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龙岗区职业技能竞赛报名表》；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2.身份证复印件（验原件）；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3.提供从事制造行业相关工作的证明；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近期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大一寸免冠白底彩色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证件照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2张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及电子版。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1．龙岗区中心城清林中路209号人力资源服务大厦6楼601室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联系人：罗锦贤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电  话：28219051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传  真：28436958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2.深圳市龙岗区龙城街道龙福一村综合楼3楼服务大厅307办公室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联系人：叶绮文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电  话：28948320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3．深圳市龙岗区大运软件小镇60栋二楼全球鹰(深圳)无人机有限公司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陆金铃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电  话：18795813271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6" w:hRule="atLeast"/>
          <w:jc w:val="center"/>
        </w:trPr>
        <w:tc>
          <w:tcPr>
            <w:tcW w:w="716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</w:rPr>
              <w:t>母婴生活照护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</w:rPr>
              <w:t>深圳市喜娃娃妇幼服务有限公司</w:t>
            </w:r>
          </w:p>
        </w:tc>
        <w:tc>
          <w:tcPr>
            <w:tcW w:w="7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  <w:t>（一）竞赛分初赛和决赛两个阶段进行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1．初赛为理论知识竞赛，采取闭卷作答方式进行，竞赛时间为120分钟，满分为100分，60分为合格。初赛成绩排名前50名的选手进入决赛。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2．决赛为实操考核，以现场实际操作的方式进行，选手在规定时间内完成规定项目，满分为100分，60分为合格。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3．成绩计算：按照初赛占30%，决赛占70%计算综合成绩（若综合成绩相同，以决赛成绩高分者为先，若决赛成绩也相同，以决赛完成时间较短者为先）。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  <w:t>（二）表彰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1.对竞赛成绩前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名的选手进行表彰奖励，分别设置一等奖1名，二等奖2名，三等奖3名，优胜奖3名，表彰人数原则上不超过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实际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参加决赛人数的30%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对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</w:rPr>
              <w:t>理论知识和实际操作成绩均合格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的前6名选手授予“龙岗区技术能手”荣誉称号。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  <w:t>（一）报名条件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年满16周岁，从事母婴照护行业相关工作人员（不包括持有医师执业证、护士执业证等相关人员），且符合以下条件之一：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1.龙岗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户籍相关从业人员；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2.龙岗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企业相关从业人员。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  <w:t>（二）报名材料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1.《2020年深圳技能大赛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龙岗区职业技能竞赛报名表》；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2.身份证复印件（验原件）；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3.提供从事母婴照护相关工作的证明；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近期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大一寸免冠白底彩色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证件照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2张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及电子版。</w:t>
            </w:r>
          </w:p>
        </w:tc>
        <w:tc>
          <w:tcPr>
            <w:tcW w:w="241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  <w:t>1．龙岗区中心城清林中路209号人力资源服务大厦6楼601室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  <w:t>联系人：罗锦贤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  <w:t>电  话：28219051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  <w:t>传  真：28436958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2．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  <w:t>深圳市龙岗区横岗街道六约社区深坑工业区深竹路C栋-多喜娃产业基地4楼办公室4016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  <w:t>联系人：张小双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  <w:t>电  话：18923846475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1" w:hRule="atLeast"/>
          <w:jc w:val="center"/>
        </w:trPr>
        <w:tc>
          <w:tcPr>
            <w:tcW w:w="716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</w:rPr>
              <w:t>中医手法（保健调理师）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  <w:lang w:val="en-US" w:eastAsia="zh-CN"/>
              </w:rPr>
              <w:t>四级）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</w:rPr>
              <w:t>深圳市和益堂高新科技有限公司</w:t>
            </w:r>
          </w:p>
        </w:tc>
        <w:tc>
          <w:tcPr>
            <w:tcW w:w="7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sz w:val="21"/>
                <w:szCs w:val="21"/>
              </w:rPr>
              <w:t>（一）竞赛分初赛和决赛两个阶段进行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1．初赛为理论知识竞赛，采取闭卷作答方式进行，竞赛时间为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120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分钟，满分为100分，60分为合格。初赛成绩排名前50名的选手进入决赛。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2．决赛为实操考核，以现场实际操作的方式进行，选手在规定时间内完成规定项目，满分为100分，60分为合格。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3．成绩计算：按照初赛占30%，决赛占70%计算综合成绩（若综合成绩相同，以决赛成绩高分者为先）。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color w:val="000000"/>
                <w:sz w:val="21"/>
                <w:szCs w:val="21"/>
              </w:rPr>
              <w:t>（二）表彰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1.对竞赛成绩前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名的选手进行表彰奖励，分别设置一等奖1名，二等奖2名，三等奖3名，优胜奖3名，表彰人数原则上不超过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实际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参加决赛人数的30%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对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sz w:val="21"/>
                <w:szCs w:val="21"/>
              </w:rPr>
              <w:t>理论知识和实际操作成绩均合格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的前6名选手授予“龙岗区技术能手”荣誉称号。</w:t>
            </w:r>
          </w:p>
        </w:tc>
        <w:tc>
          <w:tcPr>
            <w:tcW w:w="2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  <w:t>（一）报名条件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年满16周岁，从事中医保健行业相关工作人员(不包括执业中医师、康复医师、物理治疗师和持有保健调理师、保健按摩师高级及以上相关工种职业资格证书等人员），并符合以下条件之一：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1.龙岗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户籍相关从业人员；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2.龙岗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企业相关从业人员。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color w:val="000000"/>
                <w:sz w:val="21"/>
                <w:szCs w:val="21"/>
              </w:rPr>
              <w:t>（二）报名材料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1.《2020年深圳技能大赛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1"/>
                <w:szCs w:val="21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龙岗区职业技能竞赛报名表》；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2.身份证复印件（验原件）；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3.提供从事中医保健行业相关工作的证明；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4.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近期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大一寸免冠白底彩色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证件照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</w:rPr>
              <w:t>2张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lang w:val="en-US" w:eastAsia="zh-CN"/>
              </w:rPr>
              <w:t>及电子版。</w:t>
            </w:r>
          </w:p>
        </w:tc>
        <w:tc>
          <w:tcPr>
            <w:tcW w:w="241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  <w:t>1．龙岗区中心城清林中路209号人力资源服务大厦6楼601室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  <w:t>联系人：罗锦贤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  <w:t>电  话：28219051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  <w:t>传  真：28436958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  <w:t>2．深圳市龙岗区龙岗大道万汇大厦607室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  <w:t>联系人：贺  婷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2"/>
                <w:sz w:val="21"/>
                <w:szCs w:val="21"/>
              </w:rPr>
              <w:t>电  话：18682434319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95"/>
          <w:sz w:val="21"/>
          <w:szCs w:val="21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pgNumType w:fmt="numberInDash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 w:firstLineChars="0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 w:firstLineChars="0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8311"/>
    <w:multiLevelType w:val="singleLevel"/>
    <w:tmpl w:val="44618311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97589"/>
    <w:rsid w:val="00A117D5"/>
    <w:rsid w:val="00A34F14"/>
    <w:rsid w:val="01271941"/>
    <w:rsid w:val="01276E89"/>
    <w:rsid w:val="017367F0"/>
    <w:rsid w:val="017A6E0D"/>
    <w:rsid w:val="01FC6357"/>
    <w:rsid w:val="02752227"/>
    <w:rsid w:val="02B96A96"/>
    <w:rsid w:val="039979D8"/>
    <w:rsid w:val="03E310C6"/>
    <w:rsid w:val="041A4A29"/>
    <w:rsid w:val="049C148A"/>
    <w:rsid w:val="049D33BD"/>
    <w:rsid w:val="04F31DD5"/>
    <w:rsid w:val="05F41CEA"/>
    <w:rsid w:val="06020467"/>
    <w:rsid w:val="063631E9"/>
    <w:rsid w:val="063E1DB7"/>
    <w:rsid w:val="07BB2392"/>
    <w:rsid w:val="07EC5EE6"/>
    <w:rsid w:val="07EF1004"/>
    <w:rsid w:val="08FA7563"/>
    <w:rsid w:val="09866192"/>
    <w:rsid w:val="09AC3ECF"/>
    <w:rsid w:val="09C96376"/>
    <w:rsid w:val="09D37119"/>
    <w:rsid w:val="0BFC72C2"/>
    <w:rsid w:val="0C115C94"/>
    <w:rsid w:val="0CE8332E"/>
    <w:rsid w:val="0D2B7CB4"/>
    <w:rsid w:val="0DCB16F1"/>
    <w:rsid w:val="0EEC0D4D"/>
    <w:rsid w:val="0FF346CB"/>
    <w:rsid w:val="10855982"/>
    <w:rsid w:val="116922DE"/>
    <w:rsid w:val="11A47497"/>
    <w:rsid w:val="129377C2"/>
    <w:rsid w:val="132B5663"/>
    <w:rsid w:val="14154173"/>
    <w:rsid w:val="14E44CE1"/>
    <w:rsid w:val="155737FF"/>
    <w:rsid w:val="16A44565"/>
    <w:rsid w:val="16EC7FFE"/>
    <w:rsid w:val="16ED73D9"/>
    <w:rsid w:val="17DD24BA"/>
    <w:rsid w:val="1A1F7D56"/>
    <w:rsid w:val="1A814B33"/>
    <w:rsid w:val="1A8F49F2"/>
    <w:rsid w:val="1B023907"/>
    <w:rsid w:val="1D196923"/>
    <w:rsid w:val="1DB629C6"/>
    <w:rsid w:val="1E3B1600"/>
    <w:rsid w:val="1E9A6329"/>
    <w:rsid w:val="1F1558B1"/>
    <w:rsid w:val="1FC81616"/>
    <w:rsid w:val="1FF00F35"/>
    <w:rsid w:val="2046718D"/>
    <w:rsid w:val="20621F93"/>
    <w:rsid w:val="217F08D3"/>
    <w:rsid w:val="224A291E"/>
    <w:rsid w:val="22E01E12"/>
    <w:rsid w:val="2334722D"/>
    <w:rsid w:val="23710B58"/>
    <w:rsid w:val="23BB7B16"/>
    <w:rsid w:val="247F58A4"/>
    <w:rsid w:val="2579047B"/>
    <w:rsid w:val="26815155"/>
    <w:rsid w:val="269F68BA"/>
    <w:rsid w:val="26F71290"/>
    <w:rsid w:val="27041E00"/>
    <w:rsid w:val="291D37FA"/>
    <w:rsid w:val="29510A29"/>
    <w:rsid w:val="296A4F58"/>
    <w:rsid w:val="299C09DC"/>
    <w:rsid w:val="29A46DA7"/>
    <w:rsid w:val="2A4E732B"/>
    <w:rsid w:val="2C115B2E"/>
    <w:rsid w:val="2C881208"/>
    <w:rsid w:val="2D01470D"/>
    <w:rsid w:val="2D647341"/>
    <w:rsid w:val="2E0223B0"/>
    <w:rsid w:val="2F420CE7"/>
    <w:rsid w:val="2FBB013B"/>
    <w:rsid w:val="30231423"/>
    <w:rsid w:val="303E4278"/>
    <w:rsid w:val="32031345"/>
    <w:rsid w:val="324A0C62"/>
    <w:rsid w:val="3322606F"/>
    <w:rsid w:val="33687F5A"/>
    <w:rsid w:val="34561116"/>
    <w:rsid w:val="35565A96"/>
    <w:rsid w:val="356F1D3A"/>
    <w:rsid w:val="358A60F7"/>
    <w:rsid w:val="36D15C1D"/>
    <w:rsid w:val="36D97E97"/>
    <w:rsid w:val="37622C06"/>
    <w:rsid w:val="376B0380"/>
    <w:rsid w:val="380D7BFB"/>
    <w:rsid w:val="38953E78"/>
    <w:rsid w:val="3A280D7D"/>
    <w:rsid w:val="3A487C97"/>
    <w:rsid w:val="3AB46945"/>
    <w:rsid w:val="3ADC2721"/>
    <w:rsid w:val="3B227511"/>
    <w:rsid w:val="3D73037A"/>
    <w:rsid w:val="3DC15054"/>
    <w:rsid w:val="3E43660D"/>
    <w:rsid w:val="3EA5008D"/>
    <w:rsid w:val="3F855096"/>
    <w:rsid w:val="409C4370"/>
    <w:rsid w:val="43021F8E"/>
    <w:rsid w:val="43737913"/>
    <w:rsid w:val="43EB1827"/>
    <w:rsid w:val="444B5D63"/>
    <w:rsid w:val="44605AB1"/>
    <w:rsid w:val="44865132"/>
    <w:rsid w:val="454B13BB"/>
    <w:rsid w:val="45D52DC2"/>
    <w:rsid w:val="45DC44F3"/>
    <w:rsid w:val="4666095F"/>
    <w:rsid w:val="46D25CAE"/>
    <w:rsid w:val="46D77F0D"/>
    <w:rsid w:val="47391C60"/>
    <w:rsid w:val="485D53AD"/>
    <w:rsid w:val="489B1DB7"/>
    <w:rsid w:val="48A40041"/>
    <w:rsid w:val="4AC84EE0"/>
    <w:rsid w:val="4B70055E"/>
    <w:rsid w:val="4B9F71AE"/>
    <w:rsid w:val="4CB34A2D"/>
    <w:rsid w:val="4D2D717D"/>
    <w:rsid w:val="4D794032"/>
    <w:rsid w:val="4D7C1C5A"/>
    <w:rsid w:val="4E0320A3"/>
    <w:rsid w:val="4E2F553D"/>
    <w:rsid w:val="4E5A0642"/>
    <w:rsid w:val="4E5D2A6E"/>
    <w:rsid w:val="4EA803C7"/>
    <w:rsid w:val="4EAA3F7C"/>
    <w:rsid w:val="4F1058A8"/>
    <w:rsid w:val="4F79045F"/>
    <w:rsid w:val="4F800BA3"/>
    <w:rsid w:val="50BD074D"/>
    <w:rsid w:val="515169F9"/>
    <w:rsid w:val="52044467"/>
    <w:rsid w:val="525D5A09"/>
    <w:rsid w:val="526F1067"/>
    <w:rsid w:val="53454E5C"/>
    <w:rsid w:val="54524E50"/>
    <w:rsid w:val="56110CD1"/>
    <w:rsid w:val="56AB05C6"/>
    <w:rsid w:val="573942CF"/>
    <w:rsid w:val="575C2064"/>
    <w:rsid w:val="585C29B0"/>
    <w:rsid w:val="58BF592B"/>
    <w:rsid w:val="597914A6"/>
    <w:rsid w:val="5A5D2935"/>
    <w:rsid w:val="5AB66D4D"/>
    <w:rsid w:val="5C307861"/>
    <w:rsid w:val="5CB60041"/>
    <w:rsid w:val="5D3B221B"/>
    <w:rsid w:val="5DB33563"/>
    <w:rsid w:val="5E936A68"/>
    <w:rsid w:val="5F5B56AF"/>
    <w:rsid w:val="5FF52CA9"/>
    <w:rsid w:val="60033D8B"/>
    <w:rsid w:val="603A4E67"/>
    <w:rsid w:val="61535C6F"/>
    <w:rsid w:val="61676F72"/>
    <w:rsid w:val="61F46670"/>
    <w:rsid w:val="626961C3"/>
    <w:rsid w:val="63654D84"/>
    <w:rsid w:val="64815179"/>
    <w:rsid w:val="668A3264"/>
    <w:rsid w:val="66A213CD"/>
    <w:rsid w:val="66DC0A91"/>
    <w:rsid w:val="675B1C02"/>
    <w:rsid w:val="685E3900"/>
    <w:rsid w:val="696A3F96"/>
    <w:rsid w:val="69B13304"/>
    <w:rsid w:val="6BC837A0"/>
    <w:rsid w:val="6BFB6020"/>
    <w:rsid w:val="6C561B32"/>
    <w:rsid w:val="6C8A076F"/>
    <w:rsid w:val="6C965E83"/>
    <w:rsid w:val="6EAE35A3"/>
    <w:rsid w:val="729E094F"/>
    <w:rsid w:val="740623AA"/>
    <w:rsid w:val="74EF5273"/>
    <w:rsid w:val="752E5E1E"/>
    <w:rsid w:val="754E638C"/>
    <w:rsid w:val="75843EB2"/>
    <w:rsid w:val="75C7429A"/>
    <w:rsid w:val="761A1195"/>
    <w:rsid w:val="76723956"/>
    <w:rsid w:val="77DB0134"/>
    <w:rsid w:val="79671922"/>
    <w:rsid w:val="796C4D13"/>
    <w:rsid w:val="79BC1803"/>
    <w:rsid w:val="7ADD2BB6"/>
    <w:rsid w:val="7BB101A0"/>
    <w:rsid w:val="7BD6649D"/>
    <w:rsid w:val="7CE04953"/>
    <w:rsid w:val="7D3E1B95"/>
    <w:rsid w:val="7EDC1655"/>
    <w:rsid w:val="7FB1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883" w:firstLineChars="200"/>
    </w:pPr>
    <w:rPr>
      <w:rFonts w:ascii="仿宋" w:hAnsi="仿宋" w:eastAsia="仿宋" w:cs="仿宋"/>
      <w:sz w:val="32"/>
      <w:szCs w:val="32"/>
      <w:lang w:val="en-CA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afterLines="0" w:line="520" w:lineRule="exact"/>
      <w:ind w:firstLine="0" w:firstLineChars="0"/>
      <w:jc w:val="center"/>
      <w:outlineLvl w:val="0"/>
    </w:pPr>
    <w:rPr>
      <w:rFonts w:ascii="Times New Roman" w:hAnsi="Times New Roman" w:eastAsia="宋体" w:cs="宋体"/>
      <w:b/>
      <w:bCs/>
      <w:snapToGrid w:val="0"/>
      <w:kern w:val="44"/>
      <w:sz w:val="44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 w:val="0"/>
      <w:keepLines w:val="0"/>
      <w:widowControl w:val="0"/>
      <w:spacing w:beforeLines="0" w:afterLines="0" w:line="520" w:lineRule="exact"/>
      <w:ind w:firstLine="883" w:firstLineChars="200"/>
      <w:outlineLvl w:val="1"/>
    </w:pPr>
    <w:rPr>
      <w:rFonts w:ascii="黑体" w:hAnsi="黑体" w:eastAsia="黑体" w:cs="黑体"/>
      <w:bCs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afterLines="0" w:line="520" w:lineRule="exact"/>
      <w:ind w:firstLine="883" w:firstLineChars="200"/>
      <w:outlineLvl w:val="2"/>
    </w:pPr>
    <w:rPr>
      <w:rFonts w:ascii="楷体" w:hAnsi="楷体" w:eastAsia="楷体" w:cs="楷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20" w:lineRule="exact"/>
      <w:ind w:firstLine="883" w:firstLineChars="200"/>
      <w:outlineLvl w:val="3"/>
    </w:p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2 Char"/>
    <w:link w:val="3"/>
    <w:qFormat/>
    <w:uiPriority w:val="0"/>
    <w:rPr>
      <w:rFonts w:ascii="黑体" w:hAnsi="黑体" w:eastAsia="黑体" w:cs="黑体"/>
      <w:bCs/>
      <w:sz w:val="32"/>
      <w:szCs w:val="32"/>
      <w:lang w:val="en-CA"/>
    </w:rPr>
  </w:style>
  <w:style w:type="paragraph" w:customStyle="1" w:styleId="11">
    <w:name w:val="正文1"/>
    <w:basedOn w:val="2"/>
    <w:next w:val="1"/>
    <w:qFormat/>
    <w:uiPriority w:val="0"/>
    <w:pPr>
      <w:spacing w:line="520" w:lineRule="exact"/>
      <w:ind w:firstLine="883" w:firstLineChars="200"/>
      <w:jc w:val="left"/>
    </w:pPr>
    <w:rPr>
      <w:rFonts w:ascii="Times New Roman" w:hAnsi="Times New Roman" w:eastAsia="仿宋" w:cs="仿宋"/>
      <w:b w:val="0"/>
      <w:bCs w:val="0"/>
      <w:sz w:val="32"/>
      <w:szCs w:val="32"/>
    </w:rPr>
  </w:style>
  <w:style w:type="paragraph" w:customStyle="1" w:styleId="12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成成</cp:lastModifiedBy>
  <dcterms:modified xsi:type="dcterms:W3CDTF">2020-08-06T08:14:04Z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