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2020年度深龙社工英才计划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社工机构责任书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机构同意并遵守《关于开展2020年度深龙社工英才计划资助考评工作的通知》、《深圳市龙岗区深龙社工英才计划实施办法》（深龙人才通〔2016〕6号）、《龙岗区深龙社工英才计划实施细则》（深龙民〔2019〕76号）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二、本机构同意并遵从“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从严考评原则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”和“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机构负责与责任追溯原则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”，严格把控中高级社工人才的认定与考评工作。维护深龙社工英才计划形象，杜绝打人情分关系分，杜绝以职务高低打分，实事求是，维护公平。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三、凡因审计监督、投诉举报、结果复查等导致需要追回资助资金的，经查实属于本机构考评环节问题的，由本机构先行垫付资金给区民政局并负责追回。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四、本机构对所出具的所有证明材料的真实性有效性负责，对所评估的结果负责，知晓并同意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按照《办法》第二十一条至第二十三条和《细则》第二十二条至第二十四条的规定执行。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责任书签订单位（社工机构）盖章：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法定代表人亲笔签名：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日期：2020年7月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E5F32"/>
    <w:rsid w:val="5E3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2020-07-05T09:43:00Z</dcterms:created>
  <dc:creator>wolf</dc:creator>
  <cp:lastModifiedBy>糖糖1413169042</cp:lastModifiedBy>
  <dcterms:modified xsi:type="dcterms:W3CDTF">2020-07-09T08:30:57Z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