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hAnsi="宋体" w:cs="宋体"/>
          <w:b/>
          <w:sz w:val="36"/>
          <w:szCs w:val="36"/>
          <w:lang w:eastAsia="zh-CN"/>
        </w:rPr>
      </w:pPr>
      <w:bookmarkStart w:id="0" w:name="_GoBack"/>
      <w:bookmarkEnd w:id="0"/>
    </w:p>
    <w:p>
      <w:pPr>
        <w:pStyle w:val="2"/>
        <w:spacing w:line="560" w:lineRule="exact"/>
        <w:jc w:val="center"/>
        <w:rPr>
          <w:rFonts w:ascii="仿宋_GB2312" w:hAnsi="宋体" w:eastAsia="仿宋_GB2312" w:cs="宋体"/>
          <w:sz w:val="28"/>
          <w:szCs w:val="28"/>
        </w:rPr>
      </w:pPr>
      <w:r>
        <w:rPr>
          <w:rFonts w:hint="eastAsia" w:hAnsi="宋体" w:cs="宋体"/>
          <w:b/>
          <w:sz w:val="36"/>
          <w:szCs w:val="36"/>
          <w:lang w:eastAsia="zh-CN"/>
        </w:rPr>
        <w:t>龙岗区公共基础设施项目建设三年计划及实施方案</w:t>
      </w:r>
      <w:r>
        <w:rPr>
          <w:rFonts w:hint="eastAsia" w:hAnsi="宋体" w:cs="宋体"/>
          <w:b/>
          <w:sz w:val="36"/>
          <w:szCs w:val="36"/>
          <w:lang w:val="en-US" w:eastAsia="zh-CN"/>
        </w:rPr>
        <w:t>编制机构自行采购</w:t>
      </w:r>
      <w:r>
        <w:rPr>
          <w:rFonts w:hint="eastAsia" w:hAnsi="宋体" w:cs="宋体"/>
          <w:b/>
          <w:sz w:val="36"/>
          <w:szCs w:val="36"/>
        </w:rPr>
        <w:t>综合评分表</w:t>
      </w:r>
    </w:p>
    <w:tbl>
      <w:tblPr>
        <w:tblStyle w:val="5"/>
        <w:tblW w:w="9621"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576"/>
        <w:gridCol w:w="82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9" w:type="dxa"/>
            <w:vAlign w:val="center"/>
          </w:tcPr>
          <w:p>
            <w:pPr>
              <w:pStyle w:val="2"/>
              <w:spacing w:line="400" w:lineRule="exact"/>
              <w:jc w:val="center"/>
              <w:rPr>
                <w:rFonts w:hint="eastAsia" w:hAnsi="宋体" w:cs="宋体"/>
                <w:b/>
                <w:sz w:val="24"/>
                <w:szCs w:val="24"/>
                <w:lang w:eastAsia="zh-CN"/>
              </w:rPr>
            </w:pPr>
            <w:r>
              <w:rPr>
                <w:rFonts w:hint="eastAsia" w:hAnsi="宋体" w:cs="宋体"/>
                <w:b/>
                <w:sz w:val="24"/>
                <w:szCs w:val="24"/>
                <w:lang w:eastAsia="zh-CN"/>
              </w:rPr>
              <w:t>序号</w:t>
            </w:r>
          </w:p>
        </w:tc>
        <w:tc>
          <w:tcPr>
            <w:tcW w:w="1576" w:type="dxa"/>
            <w:vAlign w:val="center"/>
          </w:tcPr>
          <w:p>
            <w:pPr>
              <w:pStyle w:val="2"/>
              <w:spacing w:line="400" w:lineRule="exact"/>
              <w:jc w:val="center"/>
              <w:rPr>
                <w:rFonts w:hint="eastAsia" w:hAnsi="宋体" w:cs="宋体"/>
                <w:b/>
                <w:sz w:val="24"/>
                <w:szCs w:val="24"/>
                <w:lang w:eastAsia="zh-CN"/>
              </w:rPr>
            </w:pPr>
            <w:r>
              <w:rPr>
                <w:rFonts w:hint="eastAsia" w:hAnsi="宋体" w:cs="宋体"/>
                <w:b/>
                <w:sz w:val="24"/>
                <w:szCs w:val="24"/>
                <w:lang w:eastAsia="zh-CN"/>
              </w:rPr>
              <w:t>评分因素</w:t>
            </w:r>
          </w:p>
        </w:tc>
        <w:tc>
          <w:tcPr>
            <w:tcW w:w="824" w:type="dxa"/>
            <w:vAlign w:val="center"/>
          </w:tcPr>
          <w:p>
            <w:pPr>
              <w:pStyle w:val="2"/>
              <w:spacing w:line="400" w:lineRule="exact"/>
              <w:jc w:val="center"/>
              <w:rPr>
                <w:rFonts w:hint="eastAsia" w:hAnsi="宋体" w:cs="宋体"/>
                <w:b/>
                <w:sz w:val="24"/>
                <w:szCs w:val="24"/>
                <w:lang w:eastAsia="zh-CN"/>
              </w:rPr>
            </w:pPr>
            <w:r>
              <w:rPr>
                <w:rFonts w:hint="eastAsia" w:hAnsi="宋体" w:cs="宋体"/>
                <w:b/>
                <w:sz w:val="24"/>
                <w:szCs w:val="24"/>
                <w:lang w:val="en-US" w:eastAsia="zh-CN"/>
              </w:rPr>
              <w:t>分值</w:t>
            </w:r>
          </w:p>
        </w:tc>
        <w:tc>
          <w:tcPr>
            <w:tcW w:w="6442" w:type="dxa"/>
            <w:vAlign w:val="center"/>
          </w:tcPr>
          <w:p>
            <w:pPr>
              <w:pStyle w:val="2"/>
              <w:spacing w:line="400" w:lineRule="exact"/>
              <w:jc w:val="center"/>
              <w:rPr>
                <w:rFonts w:hint="eastAsia" w:hAnsi="宋体" w:cs="宋体"/>
                <w:b/>
                <w:sz w:val="24"/>
                <w:szCs w:val="24"/>
                <w:lang w:eastAsia="zh-CN"/>
              </w:rPr>
            </w:pPr>
            <w:r>
              <w:rPr>
                <w:rFonts w:hint="eastAsia" w:hAnsi="宋体" w:cs="宋体"/>
                <w:b/>
                <w:sz w:val="24"/>
                <w:szCs w:val="24"/>
                <w:lang w:eastAsia="zh-CN"/>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79" w:type="dxa"/>
            <w:vAlign w:val="center"/>
          </w:tcPr>
          <w:p>
            <w:pPr>
              <w:pStyle w:val="2"/>
              <w:spacing w:line="400" w:lineRule="exact"/>
              <w:jc w:val="center"/>
              <w:rPr>
                <w:rFonts w:hint="eastAsia" w:hAnsi="宋体" w:cs="宋体"/>
                <w:b/>
                <w:sz w:val="21"/>
                <w:szCs w:val="21"/>
                <w:lang w:eastAsia="zh-CN"/>
              </w:rPr>
            </w:pPr>
            <w:r>
              <w:rPr>
                <w:rFonts w:hint="eastAsia" w:hAnsi="宋体" w:cs="宋体"/>
                <w:b/>
                <w:sz w:val="21"/>
                <w:szCs w:val="21"/>
                <w:lang w:eastAsia="zh-CN"/>
              </w:rPr>
              <w:t>一</w:t>
            </w:r>
          </w:p>
        </w:tc>
        <w:tc>
          <w:tcPr>
            <w:tcW w:w="1576" w:type="dxa"/>
            <w:vAlign w:val="center"/>
          </w:tcPr>
          <w:p>
            <w:pPr>
              <w:pStyle w:val="2"/>
              <w:spacing w:line="400" w:lineRule="exact"/>
              <w:jc w:val="center"/>
              <w:rPr>
                <w:rFonts w:hint="eastAsia" w:hAnsi="宋体" w:cs="宋体"/>
                <w:b/>
                <w:sz w:val="21"/>
                <w:szCs w:val="21"/>
                <w:lang w:val="en-US" w:eastAsia="zh-CN"/>
              </w:rPr>
            </w:pPr>
            <w:r>
              <w:rPr>
                <w:rFonts w:hint="eastAsia" w:hAnsi="宋体" w:cs="宋体"/>
                <w:b/>
                <w:sz w:val="21"/>
                <w:szCs w:val="21"/>
                <w:lang w:val="en-US" w:eastAsia="zh-CN"/>
              </w:rPr>
              <w:t xml:space="preserve">价格部分    </w:t>
            </w:r>
          </w:p>
        </w:tc>
        <w:tc>
          <w:tcPr>
            <w:tcW w:w="824" w:type="dxa"/>
            <w:vAlign w:val="center"/>
          </w:tcPr>
          <w:p>
            <w:pPr>
              <w:pStyle w:val="2"/>
              <w:spacing w:line="400" w:lineRule="exact"/>
              <w:jc w:val="center"/>
              <w:rPr>
                <w:rFonts w:hint="eastAsia" w:hAnsi="宋体" w:cs="宋体"/>
                <w:b/>
                <w:sz w:val="21"/>
                <w:szCs w:val="21"/>
                <w:lang w:val="en-US" w:eastAsia="zh-CN"/>
              </w:rPr>
            </w:pPr>
            <w:r>
              <w:rPr>
                <w:rFonts w:hint="eastAsia" w:ascii="仿宋_GB2312" w:hAnsi="宋体" w:eastAsia="仿宋_GB2312" w:cs="宋体"/>
                <w:b/>
                <w:bCs/>
                <w:kern w:val="2"/>
                <w:sz w:val="21"/>
                <w:szCs w:val="21"/>
                <w:lang w:val="en-US" w:eastAsia="zh-CN"/>
              </w:rPr>
              <w:t>15</w:t>
            </w:r>
          </w:p>
        </w:tc>
        <w:tc>
          <w:tcPr>
            <w:tcW w:w="6442" w:type="dxa"/>
            <w:vAlign w:val="center"/>
          </w:tcPr>
          <w:p>
            <w:pPr>
              <w:pStyle w:val="3"/>
              <w:widowControl/>
              <w:jc w:val="center"/>
              <w:rPr>
                <w:rFonts w:hint="default" w:hAnsi="宋体" w:cs="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项目报价</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w:t>
            </w:r>
          </w:p>
        </w:tc>
        <w:tc>
          <w:tcPr>
            <w:tcW w:w="6442"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宋体" w:eastAsia="仿宋_GB2312" w:cs="宋体"/>
                <w:kern w:val="2"/>
                <w:sz w:val="21"/>
                <w:szCs w:val="21"/>
                <w:lang w:val="en-US" w:eastAsia="zh-CN" w:bidi="ar-SA"/>
              </w:rPr>
            </w:pPr>
            <w:r>
              <w:rPr>
                <w:rFonts w:hint="eastAsia" w:ascii="宋体" w:hAnsi="宋体" w:eastAsia="宋体" w:cs="宋体"/>
                <w:kern w:val="2"/>
                <w:sz w:val="21"/>
                <w:szCs w:val="21"/>
                <w:lang w:val="en-US" w:eastAsia="zh-CN" w:bidi="ar-SA"/>
              </w:rPr>
              <w:t>评标基准价：即满足招标文件要求的投标报价平均值作为评标基准价，其价格分为满分。其他投标人的价格分统一按照下列公式计算：投标报价得分=[1-│１－投标报价／Z│] ×价格权重×100</w:t>
            </w:r>
            <w:r>
              <w:rPr>
                <w:rFonts w:hint="eastAsia" w:hAnsi="宋体" w:eastAsia="宋体" w:cs="宋体"/>
                <w:kern w:val="2"/>
                <w:sz w:val="21"/>
                <w:szCs w:val="21"/>
                <w:lang w:val="en-US" w:eastAsia="zh-CN" w:bidi="ar-SA"/>
              </w:rPr>
              <w:t>，Z---即本次招标的最佳报价，即对所有通过资格性检查和符合性检查且报价不超过预算控制金额的有效投标报价取算术平均值,当价格分&lt;0时，取0。</w:t>
            </w:r>
            <w:r>
              <w:rPr>
                <w:rFonts w:hint="eastAsia" w:ascii="宋体" w:hAnsi="宋体" w:eastAsia="宋体" w:cs="宋体"/>
                <w:kern w:val="2"/>
                <w:sz w:val="21"/>
                <w:szCs w:val="21"/>
                <w:lang w:val="en-US" w:eastAsia="zh-CN" w:bidi="ar-SA"/>
              </w:rPr>
              <w:t>价格清单不详或报价不合理的酌情扣分</w:t>
            </w:r>
            <w:r>
              <w:rPr>
                <w:rFonts w:hint="eastAsia"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779" w:type="dxa"/>
            <w:vAlign w:val="center"/>
          </w:tcPr>
          <w:p>
            <w:pPr>
              <w:pStyle w:val="2"/>
              <w:spacing w:line="400" w:lineRule="exact"/>
              <w:jc w:val="center"/>
              <w:rPr>
                <w:rFonts w:hint="eastAsia" w:hAnsi="宋体" w:cs="宋体"/>
                <w:b/>
                <w:sz w:val="21"/>
                <w:szCs w:val="21"/>
                <w:lang w:val="en-US" w:eastAsia="zh-CN"/>
              </w:rPr>
            </w:pPr>
            <w:r>
              <w:rPr>
                <w:rFonts w:hint="eastAsia" w:hAnsi="宋体" w:cs="宋体"/>
                <w:b/>
                <w:sz w:val="21"/>
                <w:szCs w:val="21"/>
                <w:lang w:eastAsia="zh-CN"/>
              </w:rPr>
              <w:t>二</w:t>
            </w:r>
          </w:p>
        </w:tc>
        <w:tc>
          <w:tcPr>
            <w:tcW w:w="1576" w:type="dxa"/>
            <w:vAlign w:val="center"/>
          </w:tcPr>
          <w:p>
            <w:pPr>
              <w:pStyle w:val="2"/>
              <w:spacing w:line="400" w:lineRule="exact"/>
              <w:jc w:val="center"/>
              <w:rPr>
                <w:rFonts w:hint="default" w:hAnsi="宋体" w:cs="宋体"/>
                <w:b/>
                <w:sz w:val="21"/>
                <w:szCs w:val="21"/>
                <w:lang w:val="en-US" w:eastAsia="zh-CN"/>
              </w:rPr>
            </w:pPr>
            <w:r>
              <w:rPr>
                <w:rFonts w:hint="eastAsia" w:hAnsi="宋体" w:cs="宋体"/>
                <w:b/>
                <w:sz w:val="21"/>
                <w:szCs w:val="21"/>
                <w:lang w:val="en-US" w:eastAsia="zh-CN"/>
              </w:rPr>
              <w:t xml:space="preserve">商务部分    </w:t>
            </w:r>
          </w:p>
        </w:tc>
        <w:tc>
          <w:tcPr>
            <w:tcW w:w="824" w:type="dxa"/>
            <w:vAlign w:val="center"/>
          </w:tcPr>
          <w:p>
            <w:pPr>
              <w:pStyle w:val="2"/>
              <w:spacing w:line="400" w:lineRule="exact"/>
              <w:jc w:val="center"/>
              <w:rPr>
                <w:rFonts w:hint="eastAsia" w:hAnsi="宋体" w:cs="宋体"/>
                <w:b/>
                <w:sz w:val="21"/>
                <w:szCs w:val="21"/>
                <w:lang w:val="en-US" w:eastAsia="zh-CN"/>
              </w:rPr>
            </w:pPr>
            <w:r>
              <w:rPr>
                <w:rFonts w:hint="eastAsia" w:hAnsi="宋体" w:cs="宋体"/>
                <w:b/>
                <w:sz w:val="21"/>
                <w:szCs w:val="21"/>
                <w:lang w:val="en-US" w:eastAsia="zh-CN"/>
              </w:rPr>
              <w:t>40</w:t>
            </w:r>
          </w:p>
        </w:tc>
        <w:tc>
          <w:tcPr>
            <w:tcW w:w="6442" w:type="dxa"/>
            <w:vAlign w:val="center"/>
          </w:tcPr>
          <w:p>
            <w:pPr>
              <w:pStyle w:val="2"/>
              <w:spacing w:line="400" w:lineRule="exact"/>
              <w:jc w:val="center"/>
              <w:rPr>
                <w:rFonts w:hint="default" w:hAnsi="宋体" w:cs="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企业资质</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w:t>
            </w:r>
          </w:p>
        </w:tc>
        <w:tc>
          <w:tcPr>
            <w:tcW w:w="6442" w:type="dxa"/>
            <w:vAlign w:val="center"/>
          </w:tcPr>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投标人具有城乡规划编制甲级资质证书得4分；</w:t>
            </w:r>
          </w:p>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同时具有建筑行业（建筑工程）甲级工程设计资质证书，得2分；</w:t>
            </w:r>
          </w:p>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同时具有市政行业（道路工程）专业甲级工程设计资质证书，得2分；</w:t>
            </w:r>
          </w:p>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同时具有风景园林工程设计专项甲级资质证书，得2分；</w:t>
            </w:r>
          </w:p>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同时具有工程咨询单位甲级资信证书得2分；</w:t>
            </w:r>
          </w:p>
          <w:p>
            <w:pPr>
              <w:pStyle w:val="3"/>
              <w:widowControl/>
              <w:jc w:val="left"/>
              <w:rPr>
                <w:rFonts w:hint="eastAsia" w:ascii="仿宋_GB2312" w:hAnsi="宋体" w:eastAsia="仿宋_GB2312" w:cs="宋体"/>
                <w:kern w:val="2"/>
              </w:rPr>
            </w:pPr>
            <w:r>
              <w:rPr>
                <w:rFonts w:hint="eastAsia" w:ascii="宋体" w:hAnsi="宋体" w:eastAsia="宋体" w:cs="宋体"/>
                <w:kern w:val="2"/>
                <w:sz w:val="21"/>
                <w:szCs w:val="21"/>
                <w:lang w:val="en-US" w:eastAsia="zh-CN" w:bidi="ar-SA"/>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hAnsi="宋体" w:eastAsia="宋体" w:cs="宋体"/>
                <w:kern w:val="2"/>
                <w:sz w:val="21"/>
                <w:szCs w:val="21"/>
                <w:lang w:val="en-US" w:eastAsia="zh-CN" w:bidi="ar-SA"/>
              </w:rPr>
              <w:t>2</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企业概况</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6442" w:type="dxa"/>
            <w:vAlign w:val="center"/>
          </w:tcPr>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内容包括公司经营场所、人员规模等。</w:t>
            </w:r>
          </w:p>
          <w:p>
            <w:pPr>
              <w:pStyle w:val="3"/>
              <w:keepNext w:val="0"/>
              <w:keepLines w:val="0"/>
              <w:pageBreakBefore w:val="0"/>
              <w:widowControl/>
              <w:kinsoku/>
              <w:wordWrap/>
              <w:overflowPunct/>
              <w:topLinePunct w:val="0"/>
              <w:autoSpaceDE/>
              <w:autoSpaceDN/>
              <w:bidi w:val="0"/>
              <w:adjustRightInd/>
              <w:snapToGrid/>
              <w:jc w:val="left"/>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服务便利性：根据投标人或及其分支机构离采购人办公地址的距离＜30公里的，得5分；30公里≤距离≤100公里的得2分，距离≥100公里的不得分。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人员规模：50人以上得1分，100人以上得2分，300人以上得3分，500人以上得5分。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证明材料：提供公司营业执照及社保缴纳证明。</w:t>
            </w:r>
          </w:p>
          <w:p>
            <w:pPr>
              <w:pStyle w:val="3"/>
              <w:keepNext w:val="0"/>
              <w:keepLines w:val="0"/>
              <w:pageBreakBefore w:val="0"/>
              <w:widowControl/>
              <w:kinsoku/>
              <w:wordWrap/>
              <w:overflowPunct/>
              <w:topLinePunct w:val="0"/>
              <w:autoSpaceDE/>
              <w:autoSpaceDN/>
              <w:bidi w:val="0"/>
              <w:adjustRightInd/>
              <w:snapToGrid/>
              <w:jc w:val="left"/>
              <w:textAlignment w:val="auto"/>
              <w:rPr>
                <w:rFonts w:hint="default" w:ascii="宋体" w:hAnsi="宋体" w:eastAsia="宋体" w:cs="宋体"/>
                <w:kern w:val="2"/>
                <w:sz w:val="21"/>
                <w:szCs w:val="21"/>
                <w:lang w:val="en-US" w:eastAsia="zh-CN" w:bidi="ar-SA"/>
              </w:rPr>
            </w:pPr>
            <w:r>
              <w:rPr>
                <w:rFonts w:hint="eastAsia" w:ascii="宋体" w:hAnsi="宋体" w:eastAsia="宋体" w:cs="宋体"/>
                <w:color w:val="auto"/>
                <w:kern w:val="2"/>
                <w:sz w:val="21"/>
                <w:szCs w:val="21"/>
                <w:lang w:val="en-US" w:eastAsia="zh-CN" w:bidi="ar-SA"/>
              </w:rPr>
              <w:t>注：投标人或其分支机构离采购人办公地址的距离，以“百度地图”测量的最短公路距离为准。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hAnsi="宋体" w:eastAsia="宋体" w:cs="宋体"/>
                <w:kern w:val="2"/>
                <w:sz w:val="21"/>
                <w:szCs w:val="21"/>
                <w:lang w:val="en-US" w:eastAsia="zh-CN" w:bidi="ar-SA"/>
              </w:rPr>
              <w:t>3</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业绩经验</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6442" w:type="dxa"/>
            <w:vAlign w:val="center"/>
          </w:tcPr>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具有同类项目业绩，1项得2分，最高得8分。</w:t>
            </w:r>
          </w:p>
          <w:p>
            <w:pPr>
              <w:pStyle w:val="3"/>
              <w:widowControl/>
              <w:jc w:val="left"/>
              <w:rPr>
                <w:rFonts w:ascii="仿宋_GB2312" w:hAnsi="宋体" w:eastAsia="仿宋_GB2312" w:cs="宋体"/>
                <w:kern w:val="2"/>
              </w:rPr>
            </w:pPr>
            <w:r>
              <w:rPr>
                <w:rFonts w:hint="eastAsia" w:ascii="宋体" w:hAnsi="宋体" w:eastAsia="宋体" w:cs="宋体"/>
                <w:kern w:val="2"/>
                <w:sz w:val="21"/>
                <w:szCs w:val="21"/>
                <w:lang w:val="en-US" w:eastAsia="zh-CN" w:bidi="ar-SA"/>
              </w:rPr>
              <w:t>证明材料：合同扫描件。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hAnsi="宋体" w:eastAsia="宋体" w:cs="宋体"/>
                <w:kern w:val="2"/>
                <w:sz w:val="21"/>
                <w:szCs w:val="21"/>
                <w:lang w:val="en-US" w:eastAsia="zh-CN" w:bidi="ar-SA"/>
              </w:rPr>
              <w:t>4</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管理体系</w:t>
            </w:r>
          </w:p>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认证情况</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6442" w:type="dxa"/>
            <w:vAlign w:val="center"/>
          </w:tcPr>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具有反贿赂管理体系认证证书，得4分；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具有ISO9001质量管理体系认证证书，得2分；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具有ISO14001环境管理体系认证，得2分；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具有职业健康安全管理体系认证情况，得2分；</w:t>
            </w:r>
          </w:p>
          <w:p>
            <w:pPr>
              <w:pStyle w:val="3"/>
              <w:keepNext w:val="0"/>
              <w:keepLines w:val="0"/>
              <w:pageBreakBefore w:val="0"/>
              <w:widowControl/>
              <w:kinsoku/>
              <w:wordWrap/>
              <w:overflowPunct/>
              <w:topLinePunct w:val="0"/>
              <w:autoSpaceDE/>
              <w:autoSpaceDN/>
              <w:bidi w:val="0"/>
              <w:adjustRightInd/>
              <w:snapToGrid/>
              <w:jc w:val="left"/>
              <w:textAlignment w:val="auto"/>
              <w:rPr>
                <w:rFonts w:ascii="仿宋_GB2312" w:hAnsi="宋体" w:eastAsia="仿宋_GB2312" w:cs="宋体"/>
                <w:kern w:val="2"/>
              </w:rPr>
            </w:pPr>
            <w:r>
              <w:rPr>
                <w:rFonts w:hint="eastAsia" w:ascii="宋体" w:hAnsi="宋体" w:eastAsia="宋体" w:cs="宋体"/>
                <w:kern w:val="2"/>
                <w:sz w:val="21"/>
                <w:szCs w:val="21"/>
                <w:lang w:val="en-US" w:eastAsia="zh-CN" w:bidi="ar-SA"/>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79" w:type="dxa"/>
            <w:vAlign w:val="center"/>
          </w:tcPr>
          <w:p>
            <w:pPr>
              <w:pStyle w:val="2"/>
              <w:spacing w:line="400" w:lineRule="exact"/>
              <w:jc w:val="center"/>
              <w:rPr>
                <w:rFonts w:hint="default" w:hAnsi="宋体" w:cs="宋体"/>
                <w:b/>
                <w:sz w:val="21"/>
                <w:szCs w:val="21"/>
                <w:lang w:val="en-US" w:eastAsia="zh-CN"/>
              </w:rPr>
            </w:pPr>
            <w:r>
              <w:rPr>
                <w:rFonts w:hint="eastAsia" w:hAnsi="宋体" w:cs="宋体"/>
                <w:b/>
                <w:sz w:val="21"/>
                <w:szCs w:val="21"/>
                <w:lang w:val="en-US" w:eastAsia="zh-CN"/>
              </w:rPr>
              <w:t>三</w:t>
            </w:r>
          </w:p>
        </w:tc>
        <w:tc>
          <w:tcPr>
            <w:tcW w:w="1576" w:type="dxa"/>
            <w:vAlign w:val="center"/>
          </w:tcPr>
          <w:p>
            <w:pPr>
              <w:pStyle w:val="2"/>
              <w:spacing w:line="400" w:lineRule="exact"/>
              <w:jc w:val="center"/>
              <w:rPr>
                <w:rFonts w:hint="default" w:hAnsi="宋体" w:cs="宋体"/>
                <w:b/>
                <w:sz w:val="21"/>
                <w:szCs w:val="21"/>
                <w:lang w:val="en-US" w:eastAsia="zh-CN"/>
              </w:rPr>
            </w:pPr>
            <w:r>
              <w:rPr>
                <w:rFonts w:hint="eastAsia" w:hAnsi="宋体" w:cs="宋体"/>
                <w:b/>
                <w:sz w:val="21"/>
                <w:szCs w:val="21"/>
                <w:lang w:val="en-US" w:eastAsia="zh-CN"/>
              </w:rPr>
              <w:t xml:space="preserve">技术部分    </w:t>
            </w:r>
          </w:p>
        </w:tc>
        <w:tc>
          <w:tcPr>
            <w:tcW w:w="824" w:type="dxa"/>
            <w:vAlign w:val="center"/>
          </w:tcPr>
          <w:p>
            <w:pPr>
              <w:pStyle w:val="2"/>
              <w:spacing w:line="400" w:lineRule="exact"/>
              <w:jc w:val="center"/>
              <w:rPr>
                <w:rFonts w:hint="eastAsia" w:hAnsi="宋体" w:cs="宋体"/>
                <w:b/>
                <w:sz w:val="21"/>
                <w:szCs w:val="21"/>
                <w:lang w:val="en-US" w:eastAsia="zh-CN"/>
              </w:rPr>
            </w:pPr>
            <w:r>
              <w:rPr>
                <w:rFonts w:hint="eastAsia" w:hAnsi="宋体" w:cs="宋体"/>
                <w:b/>
                <w:sz w:val="21"/>
                <w:szCs w:val="21"/>
                <w:lang w:val="en-US" w:eastAsia="zh-CN"/>
              </w:rPr>
              <w:t>40</w:t>
            </w:r>
          </w:p>
        </w:tc>
        <w:tc>
          <w:tcPr>
            <w:tcW w:w="6442" w:type="dxa"/>
            <w:vAlign w:val="center"/>
          </w:tcPr>
          <w:p>
            <w:pPr>
              <w:pStyle w:val="2"/>
              <w:spacing w:line="400" w:lineRule="exact"/>
              <w:jc w:val="center"/>
              <w:rPr>
                <w:rFonts w:hint="default" w:hAnsi="宋体" w:cs="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研究思路</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w:t>
            </w:r>
          </w:p>
        </w:tc>
        <w:tc>
          <w:tcPr>
            <w:tcW w:w="6442" w:type="dxa"/>
            <w:vAlign w:val="center"/>
          </w:tcPr>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1、建议思路透彻得20分；</w:t>
            </w:r>
          </w:p>
          <w:p>
            <w:pPr>
              <w:pStyle w:val="3"/>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2、建议思路较清晰得10分；</w:t>
            </w:r>
          </w:p>
          <w:p>
            <w:pPr>
              <w:pStyle w:val="3"/>
              <w:widowControl/>
              <w:jc w:val="left"/>
              <w:rPr>
                <w:rFonts w:hint="eastAsia" w:ascii="仿宋_GB2312" w:hAnsi="宋体" w:eastAsia="仿宋_GB2312" w:cs="宋体"/>
                <w:kern w:val="2"/>
              </w:rPr>
            </w:pPr>
            <w:r>
              <w:rPr>
                <w:rFonts w:hint="eastAsia" w:ascii="宋体" w:hAnsi="宋体" w:eastAsia="宋体" w:cs="宋体"/>
                <w:kern w:val="2"/>
                <w:sz w:val="21"/>
                <w:szCs w:val="21"/>
                <w:lang w:val="en-US" w:eastAsia="zh-CN" w:bidi="ar-SA"/>
              </w:rPr>
              <w:t>3、建议思路混乱、不清晰不得分。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79" w:type="dxa"/>
            <w:vAlign w:val="center"/>
          </w:tcPr>
          <w:p>
            <w:pPr>
              <w:pStyle w:val="2"/>
              <w:spacing w:line="400" w:lineRule="exact"/>
              <w:jc w:val="center"/>
              <w:rPr>
                <w:rFonts w:hint="eastAsia" w:ascii="宋体" w:hAnsi="宋体" w:eastAsia="宋体" w:cs="宋体"/>
                <w:kern w:val="2"/>
                <w:sz w:val="21"/>
                <w:szCs w:val="21"/>
                <w:lang w:val="en-US" w:eastAsia="zh-CN" w:bidi="ar-SA"/>
              </w:rPr>
            </w:pPr>
          </w:p>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重难点分析</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w:t>
            </w:r>
          </w:p>
        </w:tc>
        <w:tc>
          <w:tcPr>
            <w:tcW w:w="6442" w:type="dxa"/>
            <w:vAlign w:val="center"/>
          </w:tcPr>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1、透彻，针对性强得20分；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2、分析欠透彻，针对性不够强得10分；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3、分析不透彻，针对性差得5分；</w:t>
            </w:r>
          </w:p>
          <w:p>
            <w:pPr>
              <w:pStyle w:val="3"/>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宋体" w:eastAsia="仿宋_GB2312" w:cs="宋体"/>
                <w:kern w:val="2"/>
              </w:rPr>
            </w:pPr>
            <w:r>
              <w:rPr>
                <w:rFonts w:hint="eastAsia" w:ascii="宋体" w:hAnsi="宋体" w:eastAsia="宋体" w:cs="宋体"/>
                <w:kern w:val="2"/>
                <w:sz w:val="21"/>
                <w:szCs w:val="21"/>
                <w:lang w:val="en-US" w:eastAsia="zh-CN" w:bidi="ar-SA"/>
              </w:rPr>
              <w:t>4、不合格得0分。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79" w:type="dxa"/>
            <w:vAlign w:val="center"/>
          </w:tcPr>
          <w:p>
            <w:pPr>
              <w:pStyle w:val="2"/>
              <w:spacing w:line="400" w:lineRule="exact"/>
              <w:jc w:val="center"/>
              <w:rPr>
                <w:rFonts w:hint="default" w:hAnsi="宋体" w:cs="宋体"/>
                <w:b/>
                <w:sz w:val="21"/>
                <w:szCs w:val="21"/>
                <w:lang w:val="en-US" w:eastAsia="zh-CN"/>
              </w:rPr>
            </w:pPr>
            <w:r>
              <w:rPr>
                <w:rFonts w:hint="eastAsia" w:hAnsi="宋体" w:cs="宋体"/>
                <w:b/>
                <w:sz w:val="21"/>
                <w:szCs w:val="21"/>
                <w:lang w:val="en-US" w:eastAsia="zh-CN"/>
              </w:rPr>
              <w:t>四</w:t>
            </w:r>
          </w:p>
        </w:tc>
        <w:tc>
          <w:tcPr>
            <w:tcW w:w="1576" w:type="dxa"/>
            <w:vAlign w:val="center"/>
          </w:tcPr>
          <w:p>
            <w:pPr>
              <w:pStyle w:val="2"/>
              <w:spacing w:line="400" w:lineRule="exact"/>
              <w:jc w:val="center"/>
              <w:rPr>
                <w:rFonts w:hint="default" w:hAnsi="宋体" w:cs="宋体"/>
                <w:b/>
                <w:sz w:val="21"/>
                <w:szCs w:val="21"/>
                <w:lang w:val="en-US" w:eastAsia="zh-CN"/>
              </w:rPr>
            </w:pPr>
            <w:r>
              <w:rPr>
                <w:rFonts w:hint="eastAsia" w:hAnsi="宋体" w:cs="宋体"/>
                <w:b/>
                <w:sz w:val="21"/>
                <w:szCs w:val="21"/>
                <w:lang w:val="en-US" w:eastAsia="zh-CN"/>
              </w:rPr>
              <w:t xml:space="preserve">诚信部分    </w:t>
            </w:r>
          </w:p>
        </w:tc>
        <w:tc>
          <w:tcPr>
            <w:tcW w:w="824" w:type="dxa"/>
            <w:vAlign w:val="center"/>
          </w:tcPr>
          <w:p>
            <w:pPr>
              <w:pStyle w:val="2"/>
              <w:spacing w:line="400" w:lineRule="exact"/>
              <w:jc w:val="center"/>
              <w:rPr>
                <w:rFonts w:hint="eastAsia" w:hAnsi="宋体" w:cs="宋体"/>
                <w:b/>
                <w:sz w:val="21"/>
                <w:szCs w:val="21"/>
                <w:lang w:val="en-US" w:eastAsia="zh-CN"/>
              </w:rPr>
            </w:pPr>
            <w:r>
              <w:rPr>
                <w:rFonts w:hint="eastAsia" w:hAnsi="宋体" w:cs="宋体"/>
                <w:b/>
                <w:sz w:val="21"/>
                <w:szCs w:val="21"/>
                <w:lang w:val="en-US" w:eastAsia="zh-CN"/>
              </w:rPr>
              <w:t>5</w:t>
            </w:r>
          </w:p>
        </w:tc>
        <w:tc>
          <w:tcPr>
            <w:tcW w:w="6442" w:type="dxa"/>
            <w:vAlign w:val="center"/>
          </w:tcPr>
          <w:p>
            <w:pPr>
              <w:pStyle w:val="2"/>
              <w:spacing w:line="400" w:lineRule="exact"/>
              <w:jc w:val="center"/>
              <w:rPr>
                <w:rFonts w:hint="default" w:hAnsi="宋体" w:cs="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79"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576" w:type="dxa"/>
            <w:vAlign w:val="center"/>
          </w:tcPr>
          <w:p>
            <w:pPr>
              <w:pStyle w:val="2"/>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诚信状况</w:t>
            </w:r>
          </w:p>
        </w:tc>
        <w:tc>
          <w:tcPr>
            <w:tcW w:w="824" w:type="dxa"/>
            <w:vAlign w:val="center"/>
          </w:tcPr>
          <w:p>
            <w:pPr>
              <w:pStyle w:val="2"/>
              <w:spacing w:line="40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6442" w:type="dxa"/>
            <w:vAlign w:val="center"/>
          </w:tcPr>
          <w:p>
            <w:pPr>
              <w:pStyle w:val="3"/>
              <w:widowControl/>
              <w:jc w:val="left"/>
              <w:rPr>
                <w:rFonts w:hint="eastAsia" w:ascii="仿宋_GB2312" w:hAnsi="宋体" w:eastAsia="仿宋_GB2312" w:cs="宋体"/>
                <w:kern w:val="2"/>
                <w:lang w:val="en-US" w:eastAsia="zh-CN"/>
              </w:rPr>
            </w:pPr>
            <w:r>
              <w:rPr>
                <w:rFonts w:hint="eastAsia" w:ascii="宋体" w:hAnsi="宋体" w:eastAsia="宋体" w:cs="宋体"/>
                <w:kern w:val="2"/>
                <w:sz w:val="21"/>
                <w:szCs w:val="21"/>
                <w:lang w:val="en-US" w:eastAsia="zh-CN" w:bidi="ar-SA"/>
              </w:rPr>
              <w:t>根据诚信状况评定得分，存在不良诚信记录的适当扣分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355" w:type="dxa"/>
            <w:gridSpan w:val="2"/>
            <w:vAlign w:val="bottom"/>
          </w:tcPr>
          <w:p>
            <w:pPr>
              <w:pStyle w:val="2"/>
              <w:spacing w:line="400" w:lineRule="exact"/>
              <w:jc w:val="center"/>
              <w:rPr>
                <w:rFonts w:hint="eastAsia" w:hAnsi="宋体" w:cs="宋体"/>
                <w:b/>
                <w:sz w:val="24"/>
                <w:szCs w:val="24"/>
                <w:lang w:eastAsia="zh-CN"/>
              </w:rPr>
            </w:pPr>
            <w:r>
              <w:rPr>
                <w:rFonts w:hint="eastAsia" w:hAnsi="宋体" w:cs="宋体"/>
                <w:b/>
                <w:sz w:val="24"/>
                <w:szCs w:val="24"/>
                <w:lang w:eastAsia="zh-CN"/>
              </w:rPr>
              <w:t>合计</w:t>
            </w:r>
          </w:p>
        </w:tc>
        <w:tc>
          <w:tcPr>
            <w:tcW w:w="824" w:type="dxa"/>
            <w:vAlign w:val="center"/>
          </w:tcPr>
          <w:p>
            <w:pPr>
              <w:pStyle w:val="2"/>
              <w:spacing w:line="400" w:lineRule="exact"/>
              <w:jc w:val="center"/>
              <w:rPr>
                <w:rFonts w:hint="eastAsia" w:hAnsi="宋体" w:cs="宋体"/>
                <w:b/>
                <w:sz w:val="24"/>
                <w:szCs w:val="24"/>
                <w:lang w:eastAsia="zh-CN"/>
              </w:rPr>
            </w:pPr>
            <w:r>
              <w:rPr>
                <w:rFonts w:hint="eastAsia" w:hAnsi="宋体" w:cs="宋体"/>
                <w:b/>
                <w:sz w:val="24"/>
                <w:szCs w:val="24"/>
                <w:lang w:eastAsia="zh-CN"/>
              </w:rPr>
              <w:t>100</w:t>
            </w:r>
          </w:p>
        </w:tc>
        <w:tc>
          <w:tcPr>
            <w:tcW w:w="6442" w:type="dxa"/>
            <w:vAlign w:val="center"/>
          </w:tcPr>
          <w:p>
            <w:pPr>
              <w:pStyle w:val="2"/>
              <w:spacing w:line="400" w:lineRule="exact"/>
              <w:jc w:val="center"/>
              <w:rPr>
                <w:rFonts w:hint="eastAsia" w:hAnsi="宋体" w:cs="宋体"/>
                <w:b/>
                <w:sz w:val="24"/>
                <w:szCs w:val="24"/>
                <w:lang w:eastAsia="zh-CN"/>
              </w:rPr>
            </w:pPr>
          </w:p>
        </w:tc>
      </w:tr>
    </w:tbl>
    <w:p/>
    <w:sectPr>
      <w:pgSz w:w="11906" w:h="16838"/>
      <w:pgMar w:top="1100" w:right="1689" w:bottom="986"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C2C74"/>
    <w:rsid w:val="01C6165B"/>
    <w:rsid w:val="037A71BD"/>
    <w:rsid w:val="03BB2635"/>
    <w:rsid w:val="03D67F82"/>
    <w:rsid w:val="03F54700"/>
    <w:rsid w:val="188860FE"/>
    <w:rsid w:val="197449ED"/>
    <w:rsid w:val="1AD97C13"/>
    <w:rsid w:val="1D2D1986"/>
    <w:rsid w:val="23E636C1"/>
    <w:rsid w:val="27371737"/>
    <w:rsid w:val="283974F1"/>
    <w:rsid w:val="2B520F90"/>
    <w:rsid w:val="316202BF"/>
    <w:rsid w:val="32B401D8"/>
    <w:rsid w:val="337367D5"/>
    <w:rsid w:val="34AB7484"/>
    <w:rsid w:val="38255AD3"/>
    <w:rsid w:val="39BA61C3"/>
    <w:rsid w:val="3AB30238"/>
    <w:rsid w:val="3B2D5228"/>
    <w:rsid w:val="3DE81CC1"/>
    <w:rsid w:val="3E6C0006"/>
    <w:rsid w:val="3F0248D1"/>
    <w:rsid w:val="45D97EE3"/>
    <w:rsid w:val="48075649"/>
    <w:rsid w:val="49146AB6"/>
    <w:rsid w:val="4ACF2CAA"/>
    <w:rsid w:val="4C757CB6"/>
    <w:rsid w:val="4F497684"/>
    <w:rsid w:val="50EA6D04"/>
    <w:rsid w:val="573C2C74"/>
    <w:rsid w:val="5A29432F"/>
    <w:rsid w:val="60B02739"/>
    <w:rsid w:val="64965AE1"/>
    <w:rsid w:val="6656132E"/>
    <w:rsid w:val="67E82D17"/>
    <w:rsid w:val="6A41522E"/>
    <w:rsid w:val="6DF633E4"/>
    <w:rsid w:val="72107F27"/>
    <w:rsid w:val="7947201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2020-01-07T02:40:00Z</dcterms:created>
  <dc:creator>惑1389665935</dc:creator>
  <cp:lastModifiedBy>萧小玉</cp:lastModifiedBy>
  <cp:lastPrinted>2020-07-27T01:57:00Z</cp:lastPrinted>
  <dcterms:modified xsi:type="dcterms:W3CDTF">2020-07-27T03:20:58Z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