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年深龙英才计划创新创业团队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上级无偿资助配套资助项目（第一批）拟资助名单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tbl>
      <w:tblPr>
        <w:tblStyle w:val="4"/>
        <w:tblpPr w:leftFromText="180" w:rightFromText="180" w:vertAnchor="text" w:horzAnchor="page" w:tblpX="1991" w:tblpY="193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先进高效环境净化材料关键技术开发与应用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香港中文大学（深圳）</w:t>
            </w:r>
          </w:p>
        </w:tc>
      </w:tr>
    </w:tbl>
    <w:p/>
    <w:p>
      <w:pPr>
        <w:ind w:left="960" w:hanging="960" w:hangingChars="3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C0C37"/>
    <w:rsid w:val="42CC0C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2020-06-22T02:48:00Z</dcterms:created>
  <dc:creator>李翰超</dc:creator>
  <cp:lastModifiedBy>李翰超</cp:lastModifiedBy>
  <dcterms:modified xsi:type="dcterms:W3CDTF">2020-06-22T02:49:00Z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