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_GBK" w:hAnsi="方正小标宋_GBK" w:eastAsia="方正小标宋_GBK" w:cs="方正小标宋_GBK"/>
          <w:b w:val="0"/>
          <w:bCs/>
          <w:color w:val="000000"/>
          <w:sz w:val="32"/>
          <w:szCs w:val="32"/>
          <w:lang w:val="en-US" w:eastAsia="zh-CN"/>
        </w:rPr>
      </w:pPr>
      <w:r>
        <w:rPr>
          <w:rFonts w:hint="eastAsia" w:ascii="方正小标宋_GBK" w:hAnsi="方正小标宋_GBK" w:eastAsia="方正小标宋_GBK" w:cs="方正小标宋_GBK"/>
          <w:b w:val="0"/>
          <w:bCs/>
          <w:color w:val="000000"/>
          <w:sz w:val="32"/>
          <w:szCs w:val="32"/>
          <w:lang w:eastAsia="zh-CN"/>
        </w:rPr>
        <w:t>附件</w:t>
      </w:r>
      <w:r>
        <w:rPr>
          <w:rFonts w:hint="eastAsia" w:ascii="方正小标宋_GBK" w:hAnsi="方正小标宋_GBK" w:eastAsia="方正小标宋_GBK" w:cs="方正小标宋_GBK"/>
          <w:b w:val="0"/>
          <w:bCs/>
          <w:color w:val="000000"/>
          <w:sz w:val="32"/>
          <w:szCs w:val="32"/>
          <w:lang w:val="en-US" w:eastAsia="zh-CN"/>
        </w:rPr>
        <w:t>1</w:t>
      </w:r>
    </w:p>
    <w:p>
      <w:pPr>
        <w:spacing w:line="560" w:lineRule="exact"/>
        <w:jc w:val="left"/>
        <w:rPr>
          <w:rFonts w:hint="eastAsia" w:ascii="方正小标宋_GBK" w:hAnsi="方正小标宋_GBK" w:eastAsia="方正小标宋_GBK" w:cs="方正小标宋_GBK"/>
          <w:b w:val="0"/>
          <w:bCs/>
          <w:color w:val="000000"/>
          <w:sz w:val="32"/>
          <w:szCs w:val="32"/>
          <w:lang w:val="en-US" w:eastAsia="zh-CN"/>
        </w:rPr>
      </w:pPr>
    </w:p>
    <w:p>
      <w:pPr>
        <w:spacing w:line="560" w:lineRule="exact"/>
        <w:jc w:val="center"/>
        <w:rPr>
          <w:rFonts w:hint="eastAsia" w:asciiTheme="majorEastAsia" w:hAnsiTheme="majorEastAsia" w:eastAsiaTheme="majorEastAsia" w:cstheme="majorEastAsia"/>
          <w:b w:val="0"/>
          <w:bCs/>
          <w:color w:val="000000"/>
          <w:sz w:val="44"/>
          <w:szCs w:val="44"/>
        </w:rPr>
      </w:pPr>
      <w:r>
        <w:rPr>
          <w:rFonts w:hint="eastAsia" w:asciiTheme="majorEastAsia" w:hAnsiTheme="majorEastAsia" w:eastAsiaTheme="majorEastAsia" w:cstheme="majorEastAsia"/>
          <w:b w:val="0"/>
          <w:bCs/>
          <w:color w:val="000000"/>
          <w:sz w:val="44"/>
          <w:szCs w:val="44"/>
          <w:lang w:eastAsia="zh-CN"/>
        </w:rPr>
        <w:t>深圳市龙岗区城市</w:t>
      </w:r>
      <w:r>
        <w:rPr>
          <w:rFonts w:hint="eastAsia" w:asciiTheme="majorEastAsia" w:hAnsiTheme="majorEastAsia" w:eastAsiaTheme="majorEastAsia" w:cstheme="majorEastAsia"/>
          <w:b w:val="0"/>
          <w:bCs/>
          <w:color w:val="000000"/>
          <w:sz w:val="44"/>
          <w:szCs w:val="44"/>
        </w:rPr>
        <w:t>管理事项举报奖励办法</w:t>
      </w:r>
    </w:p>
    <w:p>
      <w:pPr>
        <w:spacing w:line="560" w:lineRule="exact"/>
        <w:jc w:val="center"/>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征求意见稿）</w:t>
      </w:r>
    </w:p>
    <w:p>
      <w:pPr>
        <w:spacing w:line="560" w:lineRule="exact"/>
        <w:ind w:firstLine="412" w:firstLineChars="200"/>
        <w:jc w:val="center"/>
        <w:rPr>
          <w:rFonts w:hint="eastAsia" w:ascii="黑体" w:hAnsi="黑体" w:eastAsia="黑体" w:cs="黑体"/>
          <w:color w:val="000000"/>
          <w:szCs w:val="22"/>
        </w:rPr>
      </w:pP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第一条</w:t>
      </w:r>
      <w:r>
        <w:rPr>
          <w:rFonts w:hint="eastAsia" w:ascii="仿宋_GB2312" w:hAnsi="仿宋_GB2312" w:eastAsia="仿宋_GB2312"/>
          <w:color w:val="000000"/>
          <w:sz w:val="32"/>
          <w:szCs w:val="32"/>
        </w:rPr>
        <w:t xml:space="preserve">  为畅通社会公众参与城市管理渠道，提高社会公众参与热情，及时发现城市管理违规行为，根据《深圳经济特区市容和环境卫生管理条例》</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《深圳市整顿和规范市场经济秩序举报奖励办法》</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eastAsia="zh-CN"/>
        </w:rPr>
        <w:t>深圳市城市</w:t>
      </w:r>
      <w:r>
        <w:rPr>
          <w:rFonts w:hint="eastAsia" w:ascii="仿宋_GB2312" w:hAnsi="仿宋_GB2312" w:eastAsia="仿宋_GB2312"/>
          <w:color w:val="000000"/>
          <w:sz w:val="32"/>
          <w:szCs w:val="32"/>
        </w:rPr>
        <w:t>管理事项举报奖励办法》等规定，结合</w:t>
      </w:r>
      <w:r>
        <w:rPr>
          <w:rFonts w:hint="eastAsia" w:ascii="仿宋_GB2312" w:hAnsi="仿宋_GB2312" w:eastAsia="仿宋_GB2312"/>
          <w:color w:val="000000"/>
          <w:sz w:val="32"/>
          <w:szCs w:val="32"/>
          <w:lang w:eastAsia="zh-CN"/>
        </w:rPr>
        <w:t>我区</w:t>
      </w:r>
      <w:r>
        <w:rPr>
          <w:rFonts w:hint="eastAsia" w:ascii="仿宋_GB2312" w:hAnsi="仿宋_GB2312" w:eastAsia="仿宋_GB2312"/>
          <w:color w:val="000000"/>
          <w:sz w:val="32"/>
          <w:szCs w:val="32"/>
        </w:rPr>
        <w:t>城市管理执法的实际，制定本办法。</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第二条</w:t>
      </w:r>
      <w:r>
        <w:rPr>
          <w:rFonts w:hint="eastAsia" w:ascii="仿宋_GB2312" w:hAnsi="仿宋_GB2312" w:eastAsia="仿宋_GB2312"/>
          <w:color w:val="000000"/>
          <w:sz w:val="32"/>
          <w:szCs w:val="32"/>
        </w:rPr>
        <w:t xml:space="preserve">  任何单位和个人可以对影响</w:t>
      </w:r>
      <w:r>
        <w:rPr>
          <w:rFonts w:hint="eastAsia" w:ascii="仿宋_GB2312" w:hAnsi="仿宋_GB2312" w:eastAsia="仿宋_GB2312"/>
          <w:color w:val="000000"/>
          <w:sz w:val="32"/>
          <w:szCs w:val="32"/>
          <w:lang w:eastAsia="zh-CN"/>
        </w:rPr>
        <w:t>龙岗辖区内</w:t>
      </w:r>
      <w:r>
        <w:rPr>
          <w:rFonts w:hint="eastAsia" w:ascii="仿宋_GB2312" w:hAnsi="仿宋_GB2312" w:eastAsia="仿宋_GB2312"/>
          <w:color w:val="000000"/>
          <w:sz w:val="32"/>
          <w:szCs w:val="32"/>
        </w:rPr>
        <w:t>市容市貌的城市管理事项进行举报，经查证属实后，对举报人按照本办法予以奖励。</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第三条</w:t>
      </w:r>
      <w:r>
        <w:rPr>
          <w:rFonts w:hint="eastAsia" w:ascii="仿宋_GB2312" w:hAnsi="仿宋_GB2312" w:eastAsia="仿宋_GB2312"/>
          <w:color w:val="000000"/>
          <w:sz w:val="32"/>
          <w:szCs w:val="32"/>
        </w:rPr>
        <w:t xml:space="preserve">  举报人应当通过“</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”微信公众号举报城市管理事项。</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第四条</w:t>
      </w:r>
      <w:r>
        <w:rPr>
          <w:rFonts w:hint="eastAsia" w:ascii="仿宋_GB2312" w:hAnsi="仿宋_GB2312" w:eastAsia="仿宋_GB2312"/>
          <w:color w:val="000000"/>
          <w:sz w:val="32"/>
          <w:szCs w:val="32"/>
        </w:rPr>
        <w:t xml:space="preserve">  举报人应当如实提供被举报对象的相关内容，包括违规行为的时间、地点、基本事实或者基本市容环境卫生状况描述，提供详细地址（</w:t>
      </w:r>
      <w:r>
        <w:rPr>
          <w:rFonts w:hint="eastAsia" w:ascii="仿宋_GB2312" w:hAnsi="仿宋_GB2312" w:eastAsia="仿宋_GB2312"/>
          <w:color w:val="000000"/>
          <w:sz w:val="32"/>
          <w:szCs w:val="32"/>
          <w:lang w:val="en-US" w:eastAsia="zh-CN"/>
        </w:rPr>
        <w:t>现场</w:t>
      </w:r>
      <w:r>
        <w:rPr>
          <w:rFonts w:hint="eastAsia" w:ascii="仿宋_GB2312" w:hAnsi="仿宋_GB2312" w:eastAsia="仿宋_GB2312"/>
          <w:color w:val="000000"/>
          <w:sz w:val="32"/>
          <w:szCs w:val="32"/>
        </w:rPr>
        <w:t>定位）</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并</w:t>
      </w:r>
      <w:r>
        <w:rPr>
          <w:rFonts w:hint="eastAsia" w:ascii="仿宋_GB2312" w:hAnsi="仿宋_GB2312" w:eastAsia="仿宋_GB2312"/>
          <w:color w:val="000000"/>
          <w:sz w:val="32"/>
          <w:szCs w:val="32"/>
          <w:lang w:val="en-US" w:eastAsia="zh-CN"/>
        </w:rPr>
        <w:t>现场拍照上传</w:t>
      </w:r>
      <w:r>
        <w:rPr>
          <w:rFonts w:hint="eastAsia" w:ascii="仿宋_GB2312" w:hAnsi="仿宋_GB2312" w:eastAsia="仿宋_GB2312"/>
          <w:color w:val="000000"/>
          <w:sz w:val="32"/>
          <w:szCs w:val="32"/>
        </w:rPr>
        <w:t>同一角度的远近景照片各一张。</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第五条</w:t>
      </w:r>
      <w:r>
        <w:rPr>
          <w:rFonts w:hint="eastAsia" w:ascii="仿宋_GB2312" w:hAnsi="仿宋_GB2312" w:eastAsia="仿宋_GB2312"/>
          <w:color w:val="000000"/>
          <w:sz w:val="32"/>
          <w:szCs w:val="32"/>
        </w:rPr>
        <w:t xml:space="preserve">  举报人获得奖励应当符合以下条件：</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（一）举报人应当关注“</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 xml:space="preserve">”微信公众号，微信号绑定有效的手机号码等领取微信红包的登记信息； </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（二）举报人所反映的城市管理事项属于“</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”微信公众号举报奖励类别及标准的范围；</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（三）对同一城市管理违规行为的举报只奖励一次，以当天最先受理的案件编号为准进行奖励，信息</w:t>
      </w:r>
      <w:r>
        <w:rPr>
          <w:rFonts w:hint="eastAsia" w:ascii="仿宋_GB2312" w:hAnsi="仿宋_GB2312" w:eastAsia="仿宋_GB2312"/>
          <w:color w:val="000000"/>
          <w:sz w:val="32"/>
          <w:szCs w:val="32"/>
          <w:lang w:eastAsia="zh-CN"/>
        </w:rPr>
        <w:t>监督</w:t>
      </w:r>
      <w:r>
        <w:rPr>
          <w:rFonts w:hint="eastAsia" w:ascii="仿宋_GB2312" w:hAnsi="仿宋_GB2312" w:eastAsia="仿宋_GB2312"/>
          <w:color w:val="000000"/>
          <w:sz w:val="32"/>
          <w:szCs w:val="32"/>
        </w:rPr>
        <w:t>员巡查发现的除外；</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（四）每个举报人每日的奖励金额累计不超过200元。</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举报人未如实填写登记信息导致无法领取微信红包奖励的，视为自动放弃奖励。</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第六条</w:t>
      </w:r>
      <w:r>
        <w:rPr>
          <w:rFonts w:hint="eastAsia" w:ascii="仿宋_GB2312" w:hAnsi="仿宋_GB2312" w:eastAsia="仿宋_GB2312"/>
          <w:color w:val="000000"/>
          <w:sz w:val="32"/>
          <w:szCs w:val="32"/>
        </w:rPr>
        <w:t xml:space="preserve">  举报人或者举报事项有下列情形之一的，不予奖励：</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（一）举报人提供的资料与微信公众号要求填写的信息不一致，致使受理人员无法与举报人取得联系，或者举报人不协助、不配合，导致查处工作不能正常开展的；</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（二）伪造虚假城市管理案件现场，骗取举报奖励的；</w:t>
      </w:r>
    </w:p>
    <w:p>
      <w:pPr>
        <w:spacing w:line="560" w:lineRule="exact"/>
        <w:ind w:firstLine="632"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（三）举报因台风、暴雨、冰雹、地震、海啸、洪水、山体滑坡等自然灾害造成的等待处理中的城市管理现象。</w:t>
      </w:r>
    </w:p>
    <w:p>
      <w:pPr>
        <w:spacing w:line="560" w:lineRule="exact"/>
        <w:ind w:firstLine="640"/>
        <w:rPr>
          <w:rFonts w:hint="eastAsia" w:ascii="仿宋_GB2312" w:hAnsi="仿宋_GB2312" w:eastAsia="仿宋_GB2312"/>
          <w:color w:val="000000"/>
          <w:sz w:val="32"/>
          <w:szCs w:val="32"/>
        </w:rPr>
      </w:pPr>
      <w:r>
        <w:rPr>
          <w:rFonts w:hint="eastAsia" w:ascii="黑体" w:hAnsi="黑体" w:eastAsia="黑体"/>
          <w:bCs/>
          <w:color w:val="000000"/>
          <w:sz w:val="32"/>
          <w:szCs w:val="32"/>
        </w:rPr>
        <w:t>第七条</w:t>
      </w:r>
      <w:r>
        <w:rPr>
          <w:rFonts w:hint="eastAsia" w:ascii="仿宋_GB2312" w:hAnsi="仿宋_GB2312" w:eastAsia="仿宋_GB2312"/>
          <w:color w:val="000000"/>
          <w:sz w:val="32"/>
          <w:szCs w:val="32"/>
        </w:rPr>
        <w:t xml:space="preserve">  举报人举报以下城市管理事项，查证属实后给予2元以上15元以下奖励：</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（一）市容环境类：成堆成片暴露垃圾、乱堆乱倒建筑垃圾（工程渣土）、车辆抛洒导致的道路不洁、建筑外立面不洁等影响市容市貌的现象。</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（二）街面秩序类：城市主次干道及沿街的店铺占道经营、店外经营、无照经营游商、非法瓶装燃气运送、车压人行道（绿地）等违反街道、路面正常活动的行为。</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（三）宣传广告类：街头乱贴小广告、未经批准设置广告牌、户外广告破损、违章横幅（喷绘）广告等违规行为。</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（四）园林绿化类：毁坏绿地和绿化设施、自行车或私家车等在绿地上违规停放、侵占绿地等影响城市园林绿化行为；绿地脏乱、绿地黄土裸露、绿化苗木遮挡交通设施、行道树死株缺株及倒伏等现象。</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（五）环卫设施类：环卫工具房不洁、公共厕所破损</w:t>
      </w:r>
      <w:r>
        <w:rPr>
          <w:rFonts w:hint="eastAsia" w:ascii="仿宋_GB2312" w:hAnsi="仿宋_GB2312"/>
          <w:color w:val="000000"/>
          <w:sz w:val="32"/>
          <w:szCs w:val="32"/>
          <w:lang w:eastAsia="zh-CN"/>
        </w:rPr>
        <w:t>、</w:t>
      </w:r>
      <w:r>
        <w:rPr>
          <w:rFonts w:hint="eastAsia" w:ascii="仿宋_GB2312" w:hAnsi="仿宋_GB2312" w:eastAsia="仿宋_GB2312"/>
          <w:color w:val="000000"/>
          <w:sz w:val="32"/>
          <w:szCs w:val="32"/>
        </w:rPr>
        <w:t>公厕指示牌破损</w:t>
      </w:r>
      <w:r>
        <w:rPr>
          <w:rFonts w:hint="eastAsia" w:ascii="仿宋_GB2312" w:hAnsi="仿宋_GB2312"/>
          <w:color w:val="000000"/>
          <w:sz w:val="32"/>
          <w:szCs w:val="32"/>
          <w:lang w:eastAsia="zh-CN"/>
        </w:rPr>
        <w:t>、</w:t>
      </w:r>
      <w:r>
        <w:rPr>
          <w:rFonts w:hint="eastAsia" w:ascii="仿宋_GB2312" w:hAnsi="仿宋_GB2312" w:eastAsia="仿宋_GB2312"/>
          <w:color w:val="000000"/>
          <w:sz w:val="32"/>
          <w:szCs w:val="32"/>
        </w:rPr>
        <w:t>垃圾中转站和垃圾桶不洁或破损等现象。</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（六）市政设施类：灯箱霓虹灯破损、广告牌匾破损、报刊亭不洁或破损、邮筒不洁或破损、下水道堵塞、电话亭不洁或破损、井盖破损等现象。</w:t>
      </w:r>
    </w:p>
    <w:p>
      <w:pPr>
        <w:spacing w:line="560" w:lineRule="exact"/>
        <w:ind w:firstLine="640"/>
        <w:rPr>
          <w:rFonts w:hint="eastAsia" w:ascii="仿宋_GB2312" w:hAnsi="仿宋_GB2312" w:eastAsia="仿宋_GB2312"/>
          <w:color w:val="000000"/>
          <w:sz w:val="32"/>
          <w:szCs w:val="32"/>
        </w:rPr>
      </w:pPr>
      <w:r>
        <w:rPr>
          <w:rFonts w:hint="eastAsia" w:ascii="黑体" w:hAnsi="黑体" w:eastAsia="黑体"/>
          <w:bCs/>
          <w:color w:val="000000"/>
          <w:sz w:val="32"/>
          <w:szCs w:val="32"/>
        </w:rPr>
        <w:t>第八条</w:t>
      </w:r>
      <w:r>
        <w:rPr>
          <w:rFonts w:hint="eastAsia" w:ascii="仿宋_GB2312" w:hAnsi="仿宋_GB2312" w:eastAsia="仿宋_GB2312"/>
          <w:b/>
          <w:bCs/>
          <w:color w:val="000000"/>
          <w:sz w:val="32"/>
          <w:szCs w:val="32"/>
        </w:rPr>
        <w:t xml:space="preserve">  </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”微信公众号将及时把受理案件的立案编号信息通过微信、短信等方式反馈给举报人，案件核实后将在5个工作日内以微信红包的形式发放至举报人微信账号，逾期不领取的，视为自动放弃。</w:t>
      </w:r>
    </w:p>
    <w:p>
      <w:pPr>
        <w:spacing w:line="560" w:lineRule="exact"/>
        <w:ind w:firstLine="640"/>
        <w:rPr>
          <w:rFonts w:hint="eastAsia" w:ascii="仿宋_GB2312" w:hAnsi="黑体" w:eastAsia="仿宋_GB2312"/>
          <w:color w:val="000000"/>
          <w:sz w:val="32"/>
          <w:szCs w:val="32"/>
        </w:rPr>
      </w:pPr>
      <w:r>
        <w:rPr>
          <w:rFonts w:hint="eastAsia" w:ascii="黑体" w:hAnsi="黑体" w:eastAsia="黑体"/>
          <w:bCs/>
          <w:color w:val="000000"/>
          <w:sz w:val="32"/>
          <w:szCs w:val="32"/>
        </w:rPr>
        <w:t>第九条</w:t>
      </w:r>
      <w:r>
        <w:rPr>
          <w:rFonts w:hint="eastAsia" w:ascii="仿宋_GB2312" w:hAnsi="仿宋_GB2312" w:eastAsia="仿宋_GB2312"/>
          <w:color w:val="000000"/>
          <w:sz w:val="32"/>
          <w:szCs w:val="32"/>
        </w:rPr>
        <w:t xml:space="preserve">  由</w:t>
      </w:r>
      <w:r>
        <w:rPr>
          <w:rFonts w:hint="eastAsia" w:ascii="仿宋_GB2312" w:hAnsi="仿宋_GB2312" w:eastAsia="仿宋_GB2312"/>
          <w:color w:val="000000"/>
          <w:sz w:val="32"/>
          <w:szCs w:val="32"/>
          <w:lang w:val="en-US" w:eastAsia="zh-CN"/>
        </w:rPr>
        <w:t>龙岗</w:t>
      </w:r>
      <w:r>
        <w:rPr>
          <w:rFonts w:hint="eastAsia" w:ascii="仿宋_GB2312" w:hAnsi="仿宋_GB2312" w:eastAsia="仿宋_GB2312"/>
          <w:color w:val="000000"/>
          <w:sz w:val="32"/>
          <w:szCs w:val="32"/>
        </w:rPr>
        <w:t>区</w:t>
      </w:r>
      <w:r>
        <w:rPr>
          <w:rFonts w:hint="eastAsia" w:ascii="仿宋_GB2312" w:hAnsi="仿宋_GB2312" w:eastAsia="仿宋_GB2312"/>
          <w:color w:val="000000"/>
          <w:sz w:val="32"/>
          <w:szCs w:val="32"/>
          <w:lang w:eastAsia="zh-CN"/>
        </w:rPr>
        <w:t>智慧</w:t>
      </w:r>
      <w:r>
        <w:rPr>
          <w:rFonts w:hint="eastAsia" w:ascii="仿宋_GB2312" w:hAnsi="仿宋_GB2312" w:eastAsia="仿宋_GB2312"/>
          <w:color w:val="000000"/>
          <w:sz w:val="32"/>
          <w:szCs w:val="32"/>
        </w:rPr>
        <w:t>城管平台对举报人反映的事项进行如实记录，每日统计案件周期为前一天17：00至当天17:00。</w:t>
      </w:r>
    </w:p>
    <w:p>
      <w:pPr>
        <w:spacing w:line="560" w:lineRule="exact"/>
        <w:ind w:firstLine="640"/>
        <w:rPr>
          <w:rFonts w:hint="eastAsia" w:ascii="仿宋_GB2312" w:hAnsi="仿宋_GB2312" w:eastAsia="仿宋_GB2312"/>
          <w:color w:val="000000"/>
          <w:sz w:val="32"/>
          <w:szCs w:val="32"/>
        </w:rPr>
      </w:pPr>
      <w:r>
        <w:rPr>
          <w:rFonts w:hint="eastAsia" w:ascii="黑体" w:hAnsi="黑体" w:eastAsia="黑体"/>
          <w:bCs/>
          <w:color w:val="000000"/>
          <w:sz w:val="32"/>
          <w:szCs w:val="32"/>
        </w:rPr>
        <w:t>第十条</w:t>
      </w:r>
      <w:r>
        <w:rPr>
          <w:rFonts w:hint="eastAsia" w:ascii="仿宋_GB2312" w:hAnsi="仿宋_GB2312" w:eastAsia="仿宋_GB2312"/>
          <w:color w:val="000000"/>
          <w:sz w:val="32"/>
          <w:szCs w:val="32"/>
        </w:rPr>
        <w:t xml:space="preserve">  通过“</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”公众号举报的城市管理事项应当按照以下流程处置：</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（一）通过“</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”微信公众号举报的城市管理事项将自动流转至</w:t>
      </w:r>
      <w:r>
        <w:rPr>
          <w:rFonts w:hint="eastAsia" w:ascii="仿宋_GB2312" w:hAnsi="仿宋_GB2312" w:eastAsia="仿宋_GB2312"/>
          <w:color w:val="000000"/>
          <w:sz w:val="32"/>
          <w:szCs w:val="32"/>
          <w:lang w:val="en-US" w:eastAsia="zh-CN"/>
        </w:rPr>
        <w:t>龙岗</w:t>
      </w:r>
      <w:r>
        <w:rPr>
          <w:rFonts w:hint="eastAsia" w:ascii="仿宋_GB2312" w:hAnsi="仿宋_GB2312" w:eastAsia="仿宋_GB2312"/>
          <w:color w:val="000000"/>
          <w:sz w:val="32"/>
          <w:szCs w:val="32"/>
          <w:lang w:eastAsia="zh-CN"/>
        </w:rPr>
        <w:t>区智慧</w:t>
      </w:r>
      <w:r>
        <w:rPr>
          <w:rFonts w:hint="eastAsia" w:ascii="仿宋_GB2312" w:hAnsi="仿宋_GB2312" w:eastAsia="仿宋_GB2312"/>
          <w:color w:val="000000"/>
          <w:sz w:val="32"/>
          <w:szCs w:val="32"/>
        </w:rPr>
        <w:t>城管平台；</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（二）</w:t>
      </w:r>
      <w:r>
        <w:rPr>
          <w:rFonts w:hint="eastAsia" w:ascii="仿宋_GB2312" w:hAnsi="仿宋_GB2312" w:eastAsia="仿宋_GB2312"/>
          <w:color w:val="000000"/>
          <w:sz w:val="32"/>
          <w:szCs w:val="32"/>
          <w:lang w:val="en-US" w:eastAsia="zh-CN"/>
        </w:rPr>
        <w:t>龙岗</w:t>
      </w:r>
      <w:r>
        <w:rPr>
          <w:rFonts w:hint="eastAsia" w:ascii="仿宋_GB2312" w:hAnsi="仿宋_GB2312" w:eastAsia="仿宋_GB2312"/>
          <w:color w:val="000000"/>
          <w:sz w:val="32"/>
          <w:szCs w:val="32"/>
          <w:lang w:eastAsia="zh-CN"/>
        </w:rPr>
        <w:t>区智慧</w:t>
      </w:r>
      <w:r>
        <w:rPr>
          <w:rFonts w:hint="eastAsia" w:ascii="仿宋_GB2312" w:hAnsi="仿宋_GB2312" w:eastAsia="仿宋_GB2312"/>
          <w:color w:val="000000"/>
          <w:sz w:val="32"/>
          <w:szCs w:val="32"/>
        </w:rPr>
        <w:t>城管平台对用户报送的问题进行审核，依程序转网格内的信息</w:t>
      </w:r>
      <w:r>
        <w:rPr>
          <w:rFonts w:hint="eastAsia" w:ascii="仿宋_GB2312" w:hAnsi="仿宋_GB2312" w:eastAsia="仿宋_GB2312"/>
          <w:color w:val="000000"/>
          <w:sz w:val="32"/>
          <w:szCs w:val="32"/>
          <w:lang w:eastAsia="zh-CN"/>
        </w:rPr>
        <w:t>监督</w:t>
      </w:r>
      <w:r>
        <w:rPr>
          <w:rFonts w:hint="eastAsia" w:ascii="仿宋_GB2312" w:hAnsi="仿宋_GB2312" w:eastAsia="仿宋_GB2312"/>
          <w:color w:val="000000"/>
          <w:sz w:val="32"/>
          <w:szCs w:val="32"/>
        </w:rPr>
        <w:t>员核实，确认立案后派遣至相关责任单位；</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（三）相关责任单位根据事项的实际情况，按照要求进行修复、清理、取缔等处理；</w:t>
      </w:r>
    </w:p>
    <w:p>
      <w:pPr>
        <w:spacing w:line="560" w:lineRule="exact"/>
        <w:ind w:firstLine="64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（四）用户可在“</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”微信公众号查看办理进程和结果，并对处理完毕的问题进行满意度评价。</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第十一条</w:t>
      </w:r>
      <w:r>
        <w:rPr>
          <w:rFonts w:hint="eastAsia" w:ascii="仿宋_GB2312" w:hAnsi="仿宋_GB2312" w:eastAsia="仿宋_GB2312"/>
          <w:color w:val="000000"/>
          <w:sz w:val="32"/>
          <w:szCs w:val="32"/>
        </w:rPr>
        <w:t xml:space="preserve">  举报事项涉及违法行为，应当由各街道执法部门处理，执法部门依法对违法单位和个人进行处罚，处罚结果反馈至</w:t>
      </w:r>
      <w:r>
        <w:rPr>
          <w:rFonts w:hint="eastAsia" w:ascii="仿宋_GB2312" w:hAnsi="仿宋_GB2312" w:eastAsia="仿宋_GB2312"/>
          <w:color w:val="000000"/>
          <w:sz w:val="32"/>
          <w:szCs w:val="32"/>
          <w:lang w:val="en-US" w:eastAsia="zh-CN"/>
        </w:rPr>
        <w:t>龙岗区智慧</w:t>
      </w:r>
      <w:r>
        <w:rPr>
          <w:rFonts w:hint="eastAsia" w:ascii="仿宋_GB2312" w:hAnsi="仿宋_GB2312" w:eastAsia="仿宋_GB2312"/>
          <w:color w:val="000000"/>
          <w:sz w:val="32"/>
          <w:szCs w:val="32"/>
        </w:rPr>
        <w:t>城管平台后方可结案。</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第十二条</w:t>
      </w:r>
      <w:r>
        <w:rPr>
          <w:rFonts w:hint="eastAsia" w:ascii="仿宋_GB2312" w:hAnsi="仿宋_GB2312" w:eastAsia="仿宋_GB2312"/>
          <w:color w:val="000000"/>
          <w:sz w:val="32"/>
          <w:szCs w:val="32"/>
        </w:rPr>
        <w:t xml:space="preserve">  举报事项涉及到环卫、绿化、灯光等作业标段的案件，应当转由环卫、绿化、灯光等行业监管部门督促处理。相关部门可依据合同条款或有关法律法规对承包作业公司采取监管措施。</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第十三条</w:t>
      </w:r>
      <w:r>
        <w:rPr>
          <w:rFonts w:hint="eastAsia" w:ascii="仿宋_GB2312" w:hAnsi="仿宋_GB2312" w:eastAsia="仿宋_GB2312"/>
          <w:color w:val="000000"/>
          <w:sz w:val="32"/>
          <w:szCs w:val="32"/>
        </w:rPr>
        <w:t xml:space="preserve">  为保证奖励结果公平、公正、公开，快速、规范发放，</w:t>
      </w:r>
      <w:r>
        <w:rPr>
          <w:rFonts w:hint="eastAsia" w:ascii="仿宋_GB2312" w:hAnsi="仿宋_GB2312" w:eastAsia="仿宋_GB2312"/>
          <w:color w:val="000000"/>
          <w:sz w:val="32"/>
          <w:szCs w:val="32"/>
          <w:lang w:eastAsia="zh-CN"/>
        </w:rPr>
        <w:t>深圳市龙岗区城市</w:t>
      </w:r>
      <w:r>
        <w:rPr>
          <w:rFonts w:hint="eastAsia" w:ascii="仿宋_GB2312" w:hAnsi="仿宋_GB2312" w:eastAsia="仿宋_GB2312"/>
          <w:color w:val="000000"/>
          <w:sz w:val="32"/>
          <w:szCs w:val="32"/>
        </w:rPr>
        <w:t>管理和综合执法局将在确保举报人的个人信息得到保密的前提下，定期在“</w:t>
      </w:r>
      <w:r>
        <w:rPr>
          <w:rFonts w:hint="eastAsia" w:ascii="仿宋_GB2312" w:hAnsi="仿宋_GB2312" w:eastAsia="仿宋_GB2312"/>
          <w:color w:val="000000"/>
          <w:sz w:val="32"/>
          <w:szCs w:val="32"/>
          <w:lang w:eastAsia="zh-CN"/>
        </w:rPr>
        <w:t>龙岗垃圾分类</w:t>
      </w:r>
      <w:r>
        <w:rPr>
          <w:rFonts w:hint="eastAsia" w:ascii="仿宋_GB2312" w:hAnsi="仿宋_GB2312" w:eastAsia="仿宋_GB2312"/>
          <w:color w:val="000000"/>
          <w:sz w:val="32"/>
          <w:szCs w:val="32"/>
        </w:rPr>
        <w:t>”微信公众号公布举报获奖微信号。市民如对奖励有任何疑问或意见，可在工作时间（09:00-18:00）拨打电话（0755-</w:t>
      </w:r>
      <w:r>
        <w:rPr>
          <w:rFonts w:hint="eastAsia" w:ascii="仿宋_GB2312" w:hAnsi="仿宋_GB2312"/>
          <w:color w:val="000000"/>
          <w:sz w:val="32"/>
          <w:szCs w:val="32"/>
          <w:lang w:val="en-US" w:eastAsia="zh-CN"/>
        </w:rPr>
        <w:t xml:space="preserve"> </w:t>
      </w:r>
      <w:r>
        <w:rPr>
          <w:rFonts w:hint="eastAsia" w:ascii="仿宋_GB2312" w:eastAsia="仿宋_GB2312"/>
          <w:sz w:val="32"/>
          <w:szCs w:val="32"/>
        </w:rPr>
        <w:t>28902110</w:t>
      </w:r>
      <w:r>
        <w:rPr>
          <w:rFonts w:hint="eastAsia" w:ascii="仿宋_GB2312" w:hAnsi="仿宋_GB2312" w:eastAsia="仿宋_GB2312"/>
          <w:color w:val="000000"/>
          <w:sz w:val="32"/>
          <w:szCs w:val="32"/>
        </w:rPr>
        <w:t>）提出咨询或建议。</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第十四条</w:t>
      </w:r>
      <w:r>
        <w:rPr>
          <w:rFonts w:hint="eastAsia" w:ascii="仿宋_GB2312" w:hAnsi="仿宋_GB2312" w:eastAsia="仿宋_GB2312"/>
          <w:sz w:val="32"/>
          <w:szCs w:val="32"/>
        </w:rPr>
        <w:t xml:space="preserve">  建立健全举报奖励保密档案，包括举报记录、立案和查处情况、红包发放记录、红包领取记录等信息。</w:t>
      </w:r>
    </w:p>
    <w:p>
      <w:pPr>
        <w:spacing w:line="560" w:lineRule="exact"/>
        <w:ind w:firstLine="632" w:firstLineChars="200"/>
        <w:rPr>
          <w:rFonts w:hint="eastAsia" w:ascii="仿宋_GB2312" w:hAnsi="仿宋_GB2312" w:eastAsia="仿宋_GB2312"/>
          <w:sz w:val="32"/>
          <w:szCs w:val="32"/>
        </w:rPr>
      </w:pPr>
      <w:r>
        <w:rPr>
          <w:rFonts w:hint="eastAsia" w:ascii="黑体" w:hAnsi="黑体" w:eastAsia="黑体"/>
          <w:bCs/>
          <w:color w:val="000000"/>
          <w:sz w:val="32"/>
          <w:szCs w:val="32"/>
        </w:rPr>
        <w:t>第十五条</w:t>
      </w:r>
      <w:r>
        <w:rPr>
          <w:rFonts w:hint="eastAsia" w:ascii="仿宋_GB2312" w:hAnsi="仿宋_GB2312" w:eastAsia="仿宋_GB2312"/>
          <w:color w:val="000000"/>
          <w:sz w:val="32"/>
          <w:szCs w:val="32"/>
        </w:rPr>
        <w:t xml:space="preserve">  有关举报人的材料及档案，应当由专人负责保管，未经批准，任何人不得擅自查阅。违反规定私自调阅档案材料或者造成档案材料泄漏的，依法追究责任。</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第十六条</w:t>
      </w:r>
      <w:r>
        <w:rPr>
          <w:rFonts w:hint="eastAsia" w:ascii="仿宋_GB2312" w:hAnsi="仿宋_GB2312" w:eastAsia="仿宋_GB2312"/>
          <w:color w:val="000000"/>
          <w:sz w:val="32"/>
          <w:szCs w:val="32"/>
        </w:rPr>
        <w:t xml:space="preserve">  参与举报奖励工作的相关人员必须严格执行保密制度，不得以任何方式透露举报人身份、</w:t>
      </w:r>
      <w:r>
        <w:rPr>
          <w:rFonts w:hint="eastAsia" w:ascii="仿宋_GB2312" w:hAnsi="仿宋_GB2312" w:eastAsia="仿宋_GB2312"/>
          <w:color w:val="000000"/>
          <w:sz w:val="32"/>
          <w:szCs w:val="32"/>
          <w:lang w:eastAsia="zh-CN"/>
        </w:rPr>
        <w:t>联系方式、</w:t>
      </w:r>
      <w:r>
        <w:rPr>
          <w:rFonts w:hint="eastAsia" w:ascii="仿宋_GB2312" w:hAnsi="仿宋_GB2312" w:eastAsia="仿宋_GB2312"/>
          <w:color w:val="000000"/>
          <w:sz w:val="32"/>
          <w:szCs w:val="32"/>
        </w:rPr>
        <w:t>举报内容和奖励等信息，违者依法承担相应责任。</w:t>
      </w:r>
    </w:p>
    <w:p>
      <w:pPr>
        <w:spacing w:line="560" w:lineRule="exact"/>
        <w:ind w:firstLine="632" w:firstLineChars="200"/>
        <w:rPr>
          <w:rFonts w:hint="eastAsia" w:ascii="仿宋_GB2312" w:hAnsi="仿宋_GB2312" w:eastAsia="仿宋_GB2312"/>
          <w:b/>
          <w:bCs/>
          <w:color w:val="000000"/>
          <w:sz w:val="32"/>
          <w:szCs w:val="32"/>
        </w:rPr>
      </w:pPr>
      <w:r>
        <w:rPr>
          <w:rFonts w:hint="eastAsia" w:ascii="黑体" w:hAnsi="黑体" w:eastAsia="黑体"/>
          <w:bCs/>
          <w:color w:val="000000"/>
          <w:sz w:val="32"/>
          <w:szCs w:val="32"/>
        </w:rPr>
        <w:t>第十七条</w:t>
      </w:r>
      <w:r>
        <w:rPr>
          <w:rFonts w:hint="eastAsia" w:ascii="仿宋_GB2312" w:hAnsi="仿宋_GB2312" w:eastAsia="仿宋_GB2312"/>
          <w:sz w:val="32"/>
          <w:szCs w:val="32"/>
        </w:rPr>
        <w:t xml:space="preserve">  行业监管责任主体工作人员在办理举报案件过程中有玩忽职守、徇私舞弊行为的，依法追究其行政责任；涉嫌构成犯罪的，依法移送司法机关处理。</w:t>
      </w:r>
    </w:p>
    <w:p>
      <w:pPr>
        <w:spacing w:line="560" w:lineRule="exact"/>
        <w:ind w:firstLine="632" w:firstLineChars="200"/>
        <w:rPr>
          <w:rFonts w:hint="eastAsia" w:ascii="仿宋_GB2312" w:hAnsi="仿宋_GB2312" w:eastAsia="仿宋_GB2312"/>
          <w:color w:val="000000"/>
          <w:sz w:val="32"/>
          <w:szCs w:val="32"/>
        </w:rPr>
      </w:pPr>
      <w:r>
        <w:rPr>
          <w:rFonts w:hint="eastAsia" w:ascii="黑体" w:hAnsi="黑体" w:eastAsia="黑体"/>
          <w:bCs/>
          <w:color w:val="000000"/>
          <w:sz w:val="32"/>
          <w:szCs w:val="32"/>
        </w:rPr>
        <w:t>第十八条</w:t>
      </w:r>
      <w:r>
        <w:rPr>
          <w:rFonts w:hint="eastAsia" w:ascii="仿宋_GB2312" w:hAnsi="仿宋_GB2312" w:eastAsia="仿宋_GB2312"/>
          <w:color w:val="000000"/>
          <w:sz w:val="32"/>
          <w:szCs w:val="32"/>
        </w:rPr>
        <w:t xml:space="preserve">  任何单位或个人弄虚作假骗取奖励的，一经查实，将取消该次举报的奖励，情节严重者依法追究责任。</w:t>
      </w:r>
    </w:p>
    <w:p>
      <w:pPr>
        <w:spacing w:line="560" w:lineRule="exact"/>
        <w:ind w:firstLine="629"/>
        <w:rPr>
          <w:rFonts w:hint="eastAsia" w:ascii="仿宋_GB2312" w:eastAsia="仿宋_GB2312"/>
          <w:kern w:val="0"/>
          <w:sz w:val="32"/>
          <w:szCs w:val="32"/>
        </w:rPr>
      </w:pPr>
      <w:r>
        <w:rPr>
          <w:rFonts w:hint="eastAsia" w:ascii="黑体" w:hAnsi="黑体" w:eastAsia="黑体"/>
          <w:bCs/>
          <w:color w:val="000000"/>
          <w:sz w:val="32"/>
          <w:szCs w:val="32"/>
        </w:rPr>
        <w:t>第十九条</w:t>
      </w:r>
      <w:r>
        <w:rPr>
          <w:rFonts w:hint="eastAsia" w:ascii="仿宋_GB2312" w:hAnsi="仿宋_GB2312" w:eastAsia="仿宋_GB2312"/>
          <w:b/>
          <w:bCs/>
          <w:color w:val="000000"/>
          <w:sz w:val="32"/>
          <w:szCs w:val="32"/>
        </w:rPr>
        <w:t xml:space="preserve">  </w:t>
      </w:r>
      <w:r>
        <w:rPr>
          <w:rFonts w:hint="eastAsia" w:ascii="仿宋_GB2312" w:eastAsia="仿宋_GB2312"/>
          <w:kern w:val="0"/>
          <w:sz w:val="32"/>
          <w:szCs w:val="32"/>
        </w:rPr>
        <w:t>本《办法》具体条款由</w:t>
      </w:r>
      <w:r>
        <w:rPr>
          <w:rFonts w:hint="eastAsia" w:ascii="仿宋_GB2312" w:eastAsia="仿宋_GB2312"/>
          <w:kern w:val="0"/>
          <w:sz w:val="32"/>
          <w:szCs w:val="32"/>
          <w:lang w:val="en-US" w:eastAsia="zh-CN"/>
        </w:rPr>
        <w:t>龙岗</w:t>
      </w:r>
      <w:r>
        <w:rPr>
          <w:rFonts w:hint="eastAsia" w:ascii="仿宋_GB2312" w:eastAsia="仿宋_GB2312"/>
          <w:kern w:val="0"/>
          <w:sz w:val="32"/>
          <w:szCs w:val="32"/>
        </w:rPr>
        <w:t>区</w:t>
      </w:r>
      <w:r>
        <w:rPr>
          <w:rFonts w:hint="eastAsia" w:ascii="仿宋_GB2312" w:eastAsia="仿宋_GB2312"/>
          <w:kern w:val="0"/>
          <w:sz w:val="32"/>
          <w:szCs w:val="32"/>
          <w:lang w:val="en-US" w:eastAsia="zh-CN"/>
        </w:rPr>
        <w:t>城市管理监督指挥中心</w:t>
      </w:r>
      <w:r>
        <w:rPr>
          <w:rFonts w:hint="eastAsia" w:ascii="仿宋_GB2312" w:eastAsia="仿宋_GB2312"/>
          <w:kern w:val="0"/>
          <w:sz w:val="32"/>
          <w:szCs w:val="32"/>
        </w:rPr>
        <w:t>负责解释，自20</w:t>
      </w:r>
      <w:r>
        <w:rPr>
          <w:rFonts w:hint="eastAsia" w:ascii="仿宋_GB2312" w:eastAsia="仿宋_GB2312"/>
          <w:kern w:val="0"/>
          <w:sz w:val="32"/>
          <w:szCs w:val="32"/>
          <w:lang w:val="en-US" w:eastAsia="zh-CN"/>
        </w:rPr>
        <w:t>20</w:t>
      </w:r>
      <w:r>
        <w:rPr>
          <w:rFonts w:hint="eastAsia" w:ascii="仿宋_GB2312" w:eastAsia="仿宋_GB2312"/>
          <w:kern w:val="0"/>
          <w:sz w:val="32"/>
          <w:szCs w:val="32"/>
        </w:rPr>
        <w:t>年  月  日起执行，《深圳市龙岗区城市管理局微信红包奖励实施办法》（深龙城法规〔201</w:t>
      </w:r>
      <w:r>
        <w:rPr>
          <w:rFonts w:hint="eastAsia" w:ascii="仿宋_GB2312" w:eastAsia="仿宋_GB2312"/>
          <w:kern w:val="0"/>
          <w:sz w:val="32"/>
          <w:szCs w:val="32"/>
          <w:lang w:val="en-US" w:eastAsia="zh-CN"/>
        </w:rPr>
        <w:t>9</w:t>
      </w:r>
      <w:r>
        <w:rPr>
          <w:rFonts w:hint="eastAsia" w:ascii="仿宋_GB2312" w:eastAsia="仿宋_GB2312"/>
          <w:kern w:val="0"/>
          <w:sz w:val="32"/>
          <w:szCs w:val="32"/>
        </w:rPr>
        <w:t>〕</w:t>
      </w:r>
      <w:r>
        <w:rPr>
          <w:rFonts w:hint="eastAsia" w:ascii="仿宋_GB2312" w:eastAsia="仿宋_GB2312"/>
          <w:kern w:val="0"/>
          <w:sz w:val="32"/>
          <w:szCs w:val="32"/>
          <w:lang w:val="en-US" w:eastAsia="zh-CN"/>
        </w:rPr>
        <w:t>2</w:t>
      </w:r>
      <w:r>
        <w:rPr>
          <w:rFonts w:hint="eastAsia" w:ascii="仿宋_GB2312" w:eastAsia="仿宋_GB2312"/>
          <w:kern w:val="0"/>
          <w:sz w:val="32"/>
          <w:szCs w:val="32"/>
        </w:rPr>
        <w:t>号</w:t>
      </w:r>
      <w:r>
        <w:rPr>
          <w:rFonts w:hint="eastAsia" w:ascii="仿宋_GB2312" w:eastAsia="仿宋_GB2312"/>
          <w:kern w:val="0"/>
          <w:sz w:val="32"/>
          <w:szCs w:val="32"/>
          <w:lang w:val="en-US" w:eastAsia="zh-CN"/>
        </w:rPr>
        <w:t>)</w:t>
      </w:r>
      <w:r>
        <w:rPr>
          <w:rFonts w:hint="eastAsia" w:ascii="仿宋_GB2312" w:eastAsia="仿宋_GB2312"/>
          <w:kern w:val="0"/>
          <w:sz w:val="32"/>
          <w:szCs w:val="32"/>
        </w:rPr>
        <w:t>同时废止。</w:t>
      </w:r>
    </w:p>
    <w:p>
      <w:pPr>
        <w:spacing w:line="560" w:lineRule="exact"/>
        <w:ind w:firstLine="629"/>
        <w:rPr>
          <w:rFonts w:hint="eastAsia" w:ascii="仿宋_GB2312" w:eastAsia="仿宋_GB2312"/>
          <w:kern w:val="0"/>
          <w:sz w:val="32"/>
          <w:szCs w:val="32"/>
        </w:rPr>
      </w:pPr>
    </w:p>
    <w:p>
      <w:pPr>
        <w:spacing w:line="560" w:lineRule="exact"/>
        <w:ind w:firstLine="632" w:firstLineChars="200"/>
        <w:rPr>
          <w:rFonts w:hint="eastAsia" w:ascii="仿宋_GB2312" w:eastAsia="仿宋_GB2312"/>
          <w:kern w:val="0"/>
          <w:sz w:val="32"/>
          <w:szCs w:val="32"/>
        </w:rPr>
      </w:pPr>
      <w:r>
        <w:rPr>
          <w:rFonts w:hint="eastAsia" w:ascii="仿宋_GB2312" w:eastAsia="仿宋_GB2312"/>
          <w:sz w:val="32"/>
          <w:szCs w:val="32"/>
        </w:rPr>
        <w:t>附件：</w:t>
      </w:r>
      <w:r>
        <w:rPr>
          <w:rFonts w:hint="eastAsia" w:ascii="仿宋_GB2312" w:eastAsia="仿宋_GB2312"/>
          <w:sz w:val="32"/>
          <w:szCs w:val="32"/>
          <w:lang w:eastAsia="zh-CN"/>
        </w:rPr>
        <w:t>“</w:t>
      </w:r>
      <w:r>
        <w:rPr>
          <w:rFonts w:hint="eastAsia" w:ascii="仿宋_GB2312" w:eastAsia="仿宋_GB2312"/>
          <w:kern w:val="0"/>
          <w:sz w:val="32"/>
          <w:szCs w:val="32"/>
          <w:lang w:eastAsia="zh-CN"/>
        </w:rPr>
        <w:t>龙岗垃圾分类</w:t>
      </w:r>
      <w:r>
        <w:rPr>
          <w:rFonts w:hint="eastAsia" w:ascii="仿宋_GB2312" w:eastAsia="仿宋_GB2312"/>
          <w:kern w:val="0"/>
          <w:sz w:val="32"/>
          <w:szCs w:val="32"/>
        </w:rPr>
        <w:t>”微信红包举报奖励类别及标准</w:t>
      </w:r>
    </w:p>
    <w:p>
      <w:pPr>
        <w:bidi w:val="0"/>
        <w:ind w:firstLine="369" w:firstLineChars="0"/>
        <w:jc w:val="left"/>
        <w:rPr>
          <w:rFonts w:hint="eastAsia"/>
          <w:lang w:val="en-US" w:eastAsia="zh-CN"/>
        </w:rPr>
      </w:pPr>
    </w:p>
    <w:p>
      <w:pPr>
        <w:bidi w:val="0"/>
        <w:rPr>
          <w:rFonts w:hint="eastAsia" w:ascii="Times New Roman" w:hAnsi="Times New Roman" w:eastAsia="仿宋_GB2312"/>
          <w:kern w:val="2"/>
          <w:sz w:val="32"/>
          <w:szCs w:val="24"/>
          <w:lang w:val="en-US" w:eastAsia="zh-CN" w:bidi="ar-SA"/>
        </w:rPr>
      </w:pPr>
      <w:bookmarkStart w:id="0" w:name="_GoBack"/>
      <w:bookmarkEnd w:id="0"/>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sectPr>
          <w:footerReference r:id="rId3" w:type="default"/>
          <w:pgSz w:w="11906" w:h="16838"/>
          <w:pgMar w:top="2041" w:right="1474" w:bottom="2041" w:left="1588" w:header="851" w:footer="992" w:gutter="0"/>
          <w:pgNumType w:fmt="decimalFullWidt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黑体" w:hAnsi="黑体" w:eastAsia="黑体"/>
          <w:sz w:val="32"/>
          <w:szCs w:val="32"/>
        </w:rPr>
      </w:pPr>
      <w:r>
        <w:rPr>
          <w:rFonts w:hint="eastAsia" w:ascii="黑体" w:hAnsi="黑体"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color w:val="000000"/>
          <w:szCs w:val="2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w:t>
      </w:r>
      <w:r>
        <w:rPr>
          <w:rFonts w:hint="eastAsia" w:ascii="方正小标宋_GBK" w:hAnsi="方正小标宋_GBK" w:eastAsia="方正小标宋_GBK" w:cs="方正小标宋_GBK"/>
          <w:b w:val="0"/>
          <w:bCs/>
          <w:color w:val="000000"/>
          <w:sz w:val="44"/>
          <w:szCs w:val="44"/>
          <w:lang w:eastAsia="zh-CN"/>
        </w:rPr>
        <w:t>龙岗垃圾分类</w:t>
      </w:r>
      <w:r>
        <w:rPr>
          <w:rFonts w:hint="eastAsia" w:ascii="方正小标宋_GBK" w:hAnsi="方正小标宋_GBK" w:eastAsia="方正小标宋_GBK" w:cs="方正小标宋_GBK"/>
          <w:b w:val="0"/>
          <w:bCs/>
          <w:color w:val="000000"/>
          <w:sz w:val="44"/>
          <w:szCs w:val="44"/>
        </w:rPr>
        <w:t>”微信红包举报奖励类别及标准</w:t>
      </w:r>
    </w:p>
    <w:tbl>
      <w:tblPr>
        <w:tblStyle w:val="3"/>
        <w:tblpPr w:leftFromText="180" w:rightFromText="180" w:vertAnchor="text" w:horzAnchor="page" w:tblpX="1414" w:tblpY="580"/>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8"/>
        <w:gridCol w:w="1486"/>
        <w:gridCol w:w="2523"/>
        <w:gridCol w:w="2359"/>
        <w:gridCol w:w="2536"/>
        <w:gridCol w:w="2332"/>
        <w:gridCol w:w="614"/>
        <w:gridCol w:w="61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黑体" w:hAnsi="黑体" w:eastAsia="黑体" w:cs="黑体"/>
                <w:sz w:val="30"/>
                <w:szCs w:val="30"/>
              </w:rPr>
            </w:pPr>
            <w:r>
              <w:rPr>
                <w:rFonts w:hint="eastAsia" w:ascii="黑体" w:hAnsi="黑体" w:eastAsia="黑体" w:cs="黑体"/>
                <w:sz w:val="30"/>
                <w:szCs w:val="30"/>
              </w:rPr>
              <w:t>序号</w:t>
            </w:r>
          </w:p>
        </w:tc>
        <w:tc>
          <w:tcPr>
            <w:tcW w:w="668"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黑体" w:hAnsi="黑体" w:eastAsia="黑体" w:cs="黑体"/>
                <w:sz w:val="30"/>
                <w:szCs w:val="30"/>
              </w:rPr>
            </w:pPr>
            <w:r>
              <w:rPr>
                <w:rFonts w:hint="eastAsia" w:ascii="黑体" w:hAnsi="黑体" w:eastAsia="黑体" w:cs="黑体"/>
                <w:sz w:val="30"/>
                <w:szCs w:val="30"/>
              </w:rPr>
              <w:t>大类</w:t>
            </w:r>
          </w:p>
        </w:tc>
        <w:tc>
          <w:tcPr>
            <w:tcW w:w="1486"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黑体" w:hAnsi="黑体" w:eastAsia="黑体" w:cs="黑体"/>
                <w:sz w:val="30"/>
                <w:szCs w:val="30"/>
              </w:rPr>
            </w:pPr>
            <w:r>
              <w:rPr>
                <w:rFonts w:hint="eastAsia" w:ascii="黑体" w:hAnsi="黑体" w:eastAsia="黑体" w:cs="黑体"/>
                <w:sz w:val="30"/>
                <w:szCs w:val="30"/>
              </w:rPr>
              <w:t>案件</w:t>
            </w:r>
          </w:p>
          <w:p>
            <w:pPr>
              <w:tabs>
                <w:tab w:val="center" w:pos="4153"/>
                <w:tab w:val="right" w:pos="8306"/>
              </w:tabs>
              <w:snapToGrid w:val="0"/>
              <w:jc w:val="center"/>
              <w:rPr>
                <w:rFonts w:ascii="黑体" w:hAnsi="黑体" w:eastAsia="黑体" w:cs="黑体"/>
                <w:sz w:val="30"/>
                <w:szCs w:val="30"/>
              </w:rPr>
            </w:pPr>
            <w:r>
              <w:rPr>
                <w:rFonts w:hint="eastAsia" w:ascii="黑体" w:hAnsi="黑体" w:eastAsia="黑体" w:cs="黑体"/>
                <w:sz w:val="30"/>
                <w:szCs w:val="30"/>
              </w:rPr>
              <w:t>小类</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黑体" w:hAnsi="黑体" w:eastAsia="黑体" w:cs="黑体"/>
                <w:sz w:val="30"/>
                <w:szCs w:val="30"/>
              </w:rPr>
            </w:pPr>
            <w:r>
              <w:rPr>
                <w:rFonts w:hint="eastAsia" w:ascii="黑体" w:hAnsi="黑体" w:eastAsia="黑体" w:cs="黑体"/>
                <w:sz w:val="30"/>
                <w:szCs w:val="30"/>
              </w:rPr>
              <w:t>奖励标准</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44"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359"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A类（一般）</w:t>
            </w:r>
          </w:p>
        </w:tc>
        <w:tc>
          <w:tcPr>
            <w:tcW w:w="2536"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B类（严重）</w:t>
            </w:r>
          </w:p>
        </w:tc>
        <w:tc>
          <w:tcPr>
            <w:tcW w:w="2332"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C类（特别严重）</w:t>
            </w:r>
          </w:p>
        </w:tc>
        <w:tc>
          <w:tcPr>
            <w:tcW w:w="18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6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街面秩序</w:t>
            </w:r>
          </w:p>
        </w:tc>
        <w:tc>
          <w:tcPr>
            <w:tcW w:w="14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无照经营游商</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市政道路、公共场所、城中村内存在占道摆卖的，查证属实并结案后给予2-10元奖励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市政道路、公共场所存在占道摆卖的情况</w:t>
            </w:r>
          </w:p>
        </w:tc>
        <w:tc>
          <w:tcPr>
            <w:tcW w:w="2536"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市政道路、公共场所5宗以上占道摆卖的情况</w:t>
            </w:r>
          </w:p>
        </w:tc>
        <w:tc>
          <w:tcPr>
            <w:tcW w:w="2332"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市政道路、公共场所10宗以上占道摆卖的情况</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1"/>
                <w:szCs w:val="21"/>
              </w:rPr>
            </w:pPr>
          </w:p>
        </w:tc>
        <w:tc>
          <w:tcPr>
            <w:tcW w:w="2359"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城中村内存在占道摆卖的情况</w:t>
            </w:r>
          </w:p>
        </w:tc>
        <w:tc>
          <w:tcPr>
            <w:tcW w:w="2536"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城中村内10宗以上占道摆卖的情况</w:t>
            </w:r>
          </w:p>
        </w:tc>
        <w:tc>
          <w:tcPr>
            <w:tcW w:w="2332"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城中村内20宗以上占道摆卖的情况</w:t>
            </w: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14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店外经营</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市政道路和城中村内店铺超门线经营的，查证属实并结案后给予2-10元奖励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市政道路上存在店铺超门线经营的情况</w:t>
            </w:r>
          </w:p>
        </w:tc>
        <w:tc>
          <w:tcPr>
            <w:tcW w:w="2536"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市政道路一条路上超过5家或一半以上的店铺存在超门线经营或超门面积达1平方米以上</w:t>
            </w:r>
          </w:p>
        </w:tc>
        <w:tc>
          <w:tcPr>
            <w:tcW w:w="2332"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市政道路一条路上超过10家或80%的店铺存在超门线经营或超门面积达3平方米以上</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p>
        </w:tc>
        <w:tc>
          <w:tcPr>
            <w:tcW w:w="2359"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城中村内存在店铺超门线经营的情况</w:t>
            </w:r>
          </w:p>
        </w:tc>
        <w:tc>
          <w:tcPr>
            <w:tcW w:w="2536"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城中村内一条路上超过10家或一半以上的店铺存在超门线经营或超门面积达3平方米以上</w:t>
            </w:r>
          </w:p>
        </w:tc>
        <w:tc>
          <w:tcPr>
            <w:tcW w:w="2332"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城中村内一条路上超过20家或80%的店铺存在超门线经营或超门面积达5平方米以上</w:t>
            </w: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露天烧烤</w:t>
            </w:r>
          </w:p>
        </w:tc>
        <w:tc>
          <w:tcPr>
            <w:tcW w:w="252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人行道、公共场所露天烧烤食品向食客售卖，查证属实并结案后给予2-10元奖励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人行道、公共场所存在露天烧烤食品向食客售卖的情况</w:t>
            </w:r>
          </w:p>
        </w:tc>
        <w:tc>
          <w:tcPr>
            <w:tcW w:w="2536"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人行道、公共场所露天烧烤食品向食客售卖，一条路存在5宗以上的情况</w:t>
            </w:r>
          </w:p>
        </w:tc>
        <w:tc>
          <w:tcPr>
            <w:tcW w:w="2332"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人行道、公共场所露天烧烤食品向食客售卖，一条路存在15宗以上的情况</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bl>
    <w:p>
      <w:pPr>
        <w:widowControl/>
        <w:jc w:val="left"/>
        <w:sectPr>
          <w:pgSz w:w="16838" w:h="11906" w:orient="landscape"/>
          <w:pgMar w:top="1418" w:right="1418" w:bottom="1418" w:left="1418" w:header="851" w:footer="992" w:gutter="0"/>
          <w:cols w:space="720" w:num="1"/>
          <w:docGrid w:linePitch="435" w:charSpace="0"/>
        </w:sect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24"/>
        <w:gridCol w:w="1430"/>
        <w:gridCol w:w="2523"/>
        <w:gridCol w:w="2359"/>
        <w:gridCol w:w="2536"/>
        <w:gridCol w:w="2332"/>
        <w:gridCol w:w="614"/>
        <w:gridCol w:w="61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序号</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大类</w:t>
            </w:r>
          </w:p>
        </w:tc>
        <w:tc>
          <w:tcPr>
            <w:tcW w:w="1430"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案件</w:t>
            </w:r>
          </w:p>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小类</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奖励标准</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44"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1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359"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olor w:val="000000"/>
                <w:sz w:val="30"/>
                <w:szCs w:val="30"/>
              </w:rPr>
            </w:pPr>
            <w:r>
              <w:rPr>
                <w:rFonts w:hint="eastAsia" w:ascii="黑体" w:hAnsi="黑体" w:eastAsia="黑体"/>
                <w:color w:val="000000"/>
                <w:sz w:val="30"/>
                <w:szCs w:val="30"/>
              </w:rPr>
              <w:t>A类（一般）</w:t>
            </w:r>
          </w:p>
        </w:tc>
        <w:tc>
          <w:tcPr>
            <w:tcW w:w="2536"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olor w:val="000000"/>
                <w:sz w:val="30"/>
                <w:szCs w:val="30"/>
              </w:rPr>
            </w:pPr>
            <w:r>
              <w:rPr>
                <w:rFonts w:hint="eastAsia" w:ascii="黑体" w:hAnsi="黑体" w:eastAsia="黑体"/>
                <w:color w:val="000000"/>
                <w:sz w:val="30"/>
                <w:szCs w:val="30"/>
              </w:rPr>
              <w:t>B类（严重）</w:t>
            </w:r>
          </w:p>
        </w:tc>
        <w:tc>
          <w:tcPr>
            <w:tcW w:w="2332"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olor w:val="000000"/>
                <w:sz w:val="30"/>
                <w:szCs w:val="30"/>
              </w:rPr>
            </w:pPr>
            <w:r>
              <w:rPr>
                <w:rFonts w:hint="eastAsia" w:ascii="黑体" w:hAnsi="黑体" w:eastAsia="黑体"/>
                <w:color w:val="000000"/>
                <w:sz w:val="30"/>
                <w:szCs w:val="30"/>
              </w:rPr>
              <w:t>C类（特别严重）</w:t>
            </w:r>
          </w:p>
        </w:tc>
        <w:tc>
          <w:tcPr>
            <w:tcW w:w="18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街面秩序</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占道废品</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收购</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占用道路或公共场所回收报纸、纸箱、易拉罐等可二次利用的物品，影响市容，污染环境的行为，查证属实并结案后给予2-10元奖励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占用道路或公共场所回收报纸、纸箱、易拉罐等可二次利用的物品，影响市容，污染环境的行为</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占用道路或公共场所回收报纸、纸箱、易拉罐等可二次利用的物品，影响市容，污染环境的行为达5处以上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占用道路或公共场所回收报纸、纸箱、易拉罐等可二次利用的物品，影响市容，污染环境的行为达10处以上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沿街晾挂</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主要道路及公共场所树木和护栏、路牌、电线、电杆等设施上吊挂、晾晒物品，查证属实并结案后给予2-10元奖励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主要道路及公共场所树木和护栏、路牌、电线、电杆等设施上吊挂、晾晒物品</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主要道路及公共场所树木和护栏、路牌、电线、电杆等设施上吊挂、晾晒物品，长度5米以上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主要道路及公共场所树木和护栏、路牌、电线、电杆等设施上吊挂、晾晒物品，长度10米以上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42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黑煤气</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利用机动车辆</w:t>
            </w:r>
            <w:r>
              <w:rPr>
                <w:rFonts w:hint="eastAsia" w:ascii="宋体" w:hAnsi="宋体" w:eastAsia="宋体" w:cs="宋体"/>
                <w:color w:val="000000"/>
                <w:sz w:val="21"/>
                <w:szCs w:val="21"/>
                <w:lang w:val="en-US" w:eastAsia="zh-CN"/>
              </w:rPr>
              <w:t>等</w:t>
            </w:r>
            <w:r>
              <w:rPr>
                <w:rFonts w:hint="eastAsia" w:ascii="宋体" w:hAnsi="宋体" w:eastAsia="宋体" w:cs="宋体"/>
                <w:color w:val="000000"/>
                <w:sz w:val="21"/>
                <w:szCs w:val="21"/>
              </w:rPr>
              <w:t>运输工具定点或流动销售“黑煤气”行为及对未取得瓶装燃气经营许可或未经批准擅自从事燃气经营活动，查证属实并结案后给予10元奖励</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利用机动车辆</w:t>
            </w:r>
            <w:r>
              <w:rPr>
                <w:rFonts w:hint="eastAsia" w:ascii="宋体" w:hAnsi="宋体" w:eastAsia="宋体" w:cs="宋体"/>
                <w:color w:val="000000"/>
                <w:sz w:val="21"/>
                <w:szCs w:val="21"/>
                <w:lang w:val="en-US" w:eastAsia="zh-CN"/>
              </w:rPr>
              <w:t>等</w:t>
            </w:r>
            <w:r>
              <w:rPr>
                <w:rFonts w:hint="eastAsia" w:ascii="宋体" w:hAnsi="宋体" w:eastAsia="宋体" w:cs="宋体"/>
                <w:color w:val="000000"/>
                <w:sz w:val="21"/>
                <w:szCs w:val="21"/>
              </w:rPr>
              <w:t>运输工具定点或者流动销售“黑煤气”行为及对未取得瓶装燃气经营许可或未经批准擅自从事燃气经营活动</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r>
    </w:tbl>
    <w:p>
      <w:pPr>
        <w:widowControl/>
        <w:jc w:val="left"/>
        <w:sectPr>
          <w:pgSz w:w="16838" w:h="11906" w:orient="landscape"/>
          <w:pgMar w:top="1389" w:right="1389" w:bottom="1389" w:left="1389" w:header="851" w:footer="992" w:gutter="0"/>
          <w:cols w:space="720" w:num="1"/>
          <w:docGrid w:linePitch="312" w:charSpace="0"/>
        </w:sect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684"/>
        <w:gridCol w:w="1418"/>
        <w:gridCol w:w="2523"/>
        <w:gridCol w:w="2359"/>
        <w:gridCol w:w="2536"/>
        <w:gridCol w:w="2332"/>
        <w:gridCol w:w="614"/>
        <w:gridCol w:w="61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序号</w:t>
            </w:r>
          </w:p>
        </w:tc>
        <w:tc>
          <w:tcPr>
            <w:tcW w:w="684"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大类</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案件</w:t>
            </w:r>
          </w:p>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小类</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奖励标准</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44"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359"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A类（一般）</w:t>
            </w:r>
          </w:p>
        </w:tc>
        <w:tc>
          <w:tcPr>
            <w:tcW w:w="2536"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B类（严重）</w:t>
            </w:r>
          </w:p>
        </w:tc>
        <w:tc>
          <w:tcPr>
            <w:tcW w:w="2332"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C类（特别严重）</w:t>
            </w:r>
          </w:p>
        </w:tc>
        <w:tc>
          <w:tcPr>
            <w:tcW w:w="18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6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市容环境</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暴露垃圾</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垃圾容器和垃圾中转站3米以外及市政道路两侧、城中村内、集贸市场周边成堆、成片的垃圾不及时清理，查证属实并结案后给予3-15元奖励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垃圾容器和垃圾中转站3米以外及市政道路两侧成堆、成片的垃圾不及时清理</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垃圾容器和垃圾中转站3米以外及市政道路两侧成堆、成片的垃圾不及时清理，面积达1平方米以上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垃圾容器和垃圾中转站3米以外及市政道路两侧成堆、成片的垃圾不及时清理，面积达3平方米以上</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sz w:val="21"/>
                <w:szCs w:val="21"/>
              </w:rPr>
            </w:pP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垃圾容器和垃圾中转站3米以外及城中村内、集贸市场周边成堆、成片的垃圾不及时清理</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垃圾容器和垃圾中转站3米以外及城中村内、集贸市场周边成堆、成片的垃圾不及时清理，面积达2平方米以上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垃圾容器和垃圾中转站3米以外及城中村内、集贸市场周边成堆、成片的垃圾不及时清理，面积达6平方米以上</w:t>
            </w: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施工废弃料</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市政道路两侧、城中村内及集贸市场周边堆放的建筑垃圾、渣土,阻碍交通和行人通行且未围挡的，查证属实并结案后给予3-15元奖励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市政道路两侧存</w:t>
            </w:r>
            <w:r>
              <w:rPr>
                <w:rFonts w:hint="eastAsia" w:ascii="宋体" w:hAnsi="宋体" w:eastAsia="宋体" w:cs="宋体"/>
                <w:color w:val="000000"/>
                <w:sz w:val="21"/>
                <w:szCs w:val="21"/>
                <w:lang w:val="en-US" w:eastAsia="zh-CN"/>
              </w:rPr>
              <w:t>放</w:t>
            </w:r>
            <w:r>
              <w:rPr>
                <w:rFonts w:hint="eastAsia" w:ascii="宋体" w:hAnsi="宋体" w:eastAsia="宋体" w:cs="宋体"/>
                <w:color w:val="000000"/>
                <w:sz w:val="21"/>
                <w:szCs w:val="21"/>
              </w:rPr>
              <w:t>建筑垃圾、渣土,阻碍交通和行人通行且未围挡的</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市政道路两侧存</w:t>
            </w:r>
            <w:r>
              <w:rPr>
                <w:rFonts w:hint="eastAsia" w:ascii="宋体" w:hAnsi="宋体" w:eastAsia="宋体" w:cs="宋体"/>
                <w:color w:val="000000"/>
                <w:sz w:val="21"/>
                <w:szCs w:val="21"/>
                <w:lang w:val="en-US" w:eastAsia="zh-CN"/>
              </w:rPr>
              <w:t>放</w:t>
            </w:r>
            <w:r>
              <w:rPr>
                <w:rFonts w:hint="eastAsia" w:ascii="宋体" w:hAnsi="宋体" w:eastAsia="宋体" w:cs="宋体"/>
                <w:color w:val="000000"/>
                <w:sz w:val="21"/>
                <w:szCs w:val="21"/>
              </w:rPr>
              <w:t>建筑垃圾、渣土,阻碍交通和行人通行且未围挡的，面积达1平方米以上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市政道路两侧存</w:t>
            </w:r>
            <w:r>
              <w:rPr>
                <w:rFonts w:hint="eastAsia" w:ascii="宋体" w:hAnsi="宋体" w:eastAsia="宋体" w:cs="宋体"/>
                <w:color w:val="000000"/>
                <w:sz w:val="21"/>
                <w:szCs w:val="21"/>
                <w:lang w:val="en-US" w:eastAsia="zh-CN"/>
              </w:rPr>
              <w:t>放</w:t>
            </w:r>
            <w:r>
              <w:rPr>
                <w:rFonts w:hint="eastAsia" w:ascii="宋体" w:hAnsi="宋体" w:eastAsia="宋体" w:cs="宋体"/>
                <w:color w:val="000000"/>
                <w:sz w:val="21"/>
                <w:szCs w:val="21"/>
              </w:rPr>
              <w:t>建筑垃圾、渣土,阻碍交通和行人通行且未围挡的，面积达3平方米以上</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1"/>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both"/>
              <w:rPr>
                <w:rFonts w:hint="eastAsia" w:ascii="宋体" w:hAnsi="宋体" w:eastAsia="宋体" w:cs="宋体"/>
                <w:sz w:val="21"/>
                <w:szCs w:val="21"/>
              </w:rPr>
            </w:pP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城中村内及集贸市场周边堆放的建筑垃圾、渣土,阻碍交通和行人通行且未围挡的</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城中村内及集贸市场周边堆放</w:t>
            </w:r>
            <w:r>
              <w:rPr>
                <w:rFonts w:hint="eastAsia" w:ascii="宋体" w:hAnsi="宋体" w:eastAsia="宋体" w:cs="宋体"/>
                <w:color w:val="000000"/>
                <w:sz w:val="21"/>
                <w:szCs w:val="21"/>
                <w:lang w:val="en-US" w:eastAsia="zh-CN"/>
              </w:rPr>
              <w:t>的</w:t>
            </w:r>
            <w:r>
              <w:rPr>
                <w:rFonts w:hint="eastAsia" w:ascii="宋体" w:hAnsi="宋体" w:eastAsia="宋体" w:cs="宋体"/>
                <w:color w:val="000000"/>
                <w:sz w:val="21"/>
                <w:szCs w:val="21"/>
              </w:rPr>
              <w:t>建筑垃圾、渣土,阻碍交通和行人通行且未围挡的，面积达2平方米以上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城中村内及集贸市场周边堆放的建筑垃圾、渣土,阻碍交通和行人通行且未围挡的，面积达6平方米以上</w:t>
            </w: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hint="eastAsia" w:ascii="宋体" w:hAnsi="宋体" w:eastAsia="宋体" w:cs="宋体"/>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hint="eastAsia" w:ascii="宋体" w:hAnsi="宋体" w:eastAsia="宋体" w:cs="宋体"/>
                <w:sz w:val="21"/>
                <w:szCs w:val="21"/>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47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宋体" w:hAnsi="宋体" w:eastAsia="宋体" w:cs="宋体"/>
                <w:sz w:val="21"/>
                <w:szCs w:val="21"/>
              </w:rPr>
            </w:pPr>
            <w:r>
              <w:rPr>
                <w:rFonts w:hint="eastAsia" w:ascii="宋体" w:hAnsi="宋体" w:eastAsia="宋体" w:cs="宋体"/>
                <w:sz w:val="21"/>
                <w:szCs w:val="21"/>
              </w:rPr>
              <w:t>9</w:t>
            </w: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道路保洁</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市政道路上有散落的垃圾、渣土，查证属实并结案后给予3-15元奖励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市政道路上有散落的垃圾、渣土</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市政道路上有散落的垃圾、渣土，面积达2平方米以上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市政道路上有散落的垃圾、渣土，面积达5平方米以上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序号</w:t>
            </w:r>
          </w:p>
        </w:tc>
        <w:tc>
          <w:tcPr>
            <w:tcW w:w="684"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大类</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案件小类</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奖励标准</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44"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359"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A类（一般）</w:t>
            </w:r>
          </w:p>
        </w:tc>
        <w:tc>
          <w:tcPr>
            <w:tcW w:w="2536"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B类（严重）</w:t>
            </w:r>
          </w:p>
        </w:tc>
        <w:tc>
          <w:tcPr>
            <w:tcW w:w="2332"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C类（特别严重）</w:t>
            </w:r>
          </w:p>
        </w:tc>
        <w:tc>
          <w:tcPr>
            <w:tcW w:w="18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val="en-US" w:eastAsia="zh-CN"/>
              </w:rPr>
              <w:t>1</w:t>
            </w:r>
            <w:r>
              <w:rPr>
                <w:rFonts w:hint="eastAsia" w:ascii="宋体" w:hAnsi="宋体" w:eastAsia="宋体" w:cs="Times New Roman"/>
                <w:color w:val="000000"/>
                <w:sz w:val="21"/>
                <w:szCs w:val="21"/>
              </w:rPr>
              <w:t>0</w:t>
            </w:r>
          </w:p>
        </w:tc>
        <w:tc>
          <w:tcPr>
            <w:tcW w:w="6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市容环境</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乱堆物料</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市政道路两侧、城中村内及集贸市场周边非施工期间堆放物料且未围挡的，查证属实并结案后给予3-15元奖励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市政道路两侧非施工期间堆放物料且未围挡</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市政道路两侧非施工期间堆放物料且未围挡，面积达2平方米以上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市政道路两侧非施工期间堆放物料且未围挡，面积达5平方米以上</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城中村内及集贸市场周边非施工期间堆放物料且未围挡</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城中村内及集贸市场周边非施工期间堆放物料且未围挡，面积达3平方米以上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城中村内及集贸市场周边非施工期间堆放物料且未围挡，面积达8平方米以上</w:t>
            </w: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p>
        </w:tc>
        <w:tc>
          <w:tcPr>
            <w:tcW w:w="6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4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11</w:t>
            </w: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积存垃圾</w:t>
            </w:r>
          </w:p>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渣土</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市政道路两侧未及时清理的成片非生活垃圾渣土，查证属实并结案后给予3-15元奖励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市政道路两侧未及时清理的成片非生活垃圾渣土</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市政道路两侧未及时清理的成片非生活垃圾渣土，面积达1平方米以上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市政道路两侧未及时清理的成片非生活垃圾渣土，面积达3平方米以上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4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12</w:t>
            </w: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建筑物</w:t>
            </w:r>
          </w:p>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外立面不洁</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临街建筑及城中村立面存</w:t>
            </w:r>
            <w:r>
              <w:rPr>
                <w:rFonts w:hint="eastAsia" w:ascii="宋体" w:hAnsi="宋体" w:eastAsia="宋体" w:cs="Times New Roman"/>
                <w:color w:val="000000"/>
                <w:sz w:val="21"/>
                <w:szCs w:val="21"/>
                <w:lang w:val="en-US" w:eastAsia="zh-CN"/>
              </w:rPr>
              <w:t>在</w:t>
            </w:r>
            <w:r>
              <w:rPr>
                <w:rFonts w:hint="eastAsia" w:ascii="宋体" w:hAnsi="宋体" w:eastAsia="宋体" w:cs="Times New Roman"/>
                <w:color w:val="000000"/>
                <w:sz w:val="21"/>
                <w:szCs w:val="21"/>
              </w:rPr>
              <w:t>严重张贴广告、外表陈旧、表面肮脏、残留污迹，查证属实并结案后给予3-15元奖励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临街建筑及城中村立面存在张贴广告、外表陈旧、表面肮脏、残留污迹</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临街建筑及城中村立面存在严重张贴广告、外表陈旧、表面肮脏、残留污迹，面积达4平方米以上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临街建筑及城中村立面存在严重张贴广告、外表陈旧、表面肮脏、残留污迹，面积达8平方米以上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r>
    </w:tbl>
    <w:p>
      <w:pPr>
        <w:widowControl/>
        <w:jc w:val="left"/>
        <w:sectPr>
          <w:type w:val="continuous"/>
          <w:pgSz w:w="16838" w:h="11906" w:orient="landscape"/>
          <w:pgMar w:top="1389" w:right="1389" w:bottom="1389" w:left="1389" w:header="851" w:footer="992" w:gutter="0"/>
          <w:cols w:space="720" w:num="1"/>
          <w:docGrid w:linePitch="312" w:charSpace="0"/>
        </w:sect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52"/>
        <w:gridCol w:w="1502"/>
        <w:gridCol w:w="2523"/>
        <w:gridCol w:w="2359"/>
        <w:gridCol w:w="2536"/>
        <w:gridCol w:w="2332"/>
        <w:gridCol w:w="614"/>
        <w:gridCol w:w="61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序号</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大类</w:t>
            </w:r>
          </w:p>
        </w:tc>
        <w:tc>
          <w:tcPr>
            <w:tcW w:w="1502"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案件</w:t>
            </w:r>
          </w:p>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小类</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奖励标准</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44"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p>
        </w:tc>
        <w:tc>
          <w:tcPr>
            <w:tcW w:w="2359"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A类（一般）</w:t>
            </w:r>
          </w:p>
        </w:tc>
        <w:tc>
          <w:tcPr>
            <w:tcW w:w="2536"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B类（严重）</w:t>
            </w:r>
          </w:p>
        </w:tc>
        <w:tc>
          <w:tcPr>
            <w:tcW w:w="2332"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C类（特别严重）</w:t>
            </w:r>
          </w:p>
        </w:tc>
        <w:tc>
          <w:tcPr>
            <w:tcW w:w="1844" w:type="dxa"/>
            <w:gridSpan w:val="3"/>
            <w:vMerge w:val="continue"/>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13</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宣传广告</w:t>
            </w:r>
          </w:p>
        </w:tc>
        <w:tc>
          <w:tcPr>
            <w:tcW w:w="150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街头张贴广告</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未经许可在树木和建筑物、构筑物、路牌或其他设施上张贴宣传品或标语，查证属实并结案后给予2-10元奖励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未经许可在树木和建筑物、构筑物、路牌或其他设施上张贴宣传品或标语</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未经许可在树木和建筑物、构筑物、路牌或其他设施上张贴宣传品或标语，面积达1平方米以上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未经许可在树木和建筑物、构筑物、路牌或其他设施上张贴宣传品或标语，面积达3平方米以上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14</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悬挂横幅标语</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擅自户外设置横幅标语；未按审定位置、规格和时间设置横幅标语或横幅标语残旧、破损、脱落，查证属实并结案后给予2-10元奖励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擅自户外设置横幅标语；未按审定位置、规格和时间设置横幅标语或横幅标语残旧、破损、脱落</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擅自户外设置横幅标语；未按审定位置、规格和时间设置横幅标语或横幅标语残旧、破损、脱落，长度达2米以上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擅自户外设置横幅标语；未按审定位置、规格和时间设置横幅标语或横幅标语残旧、破损、脱落，长度达5米以上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未经批准设置</w:t>
            </w:r>
          </w:p>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广告牌</w:t>
            </w:r>
          </w:p>
        </w:tc>
        <w:tc>
          <w:tcPr>
            <w:tcW w:w="252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擅自占用城市道路、绿地、建筑物楼顶设置广告牌，查证属实并结案后给予3-15元奖励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擅自占用城市道路、绿地、建筑物楼顶设置小型固定广告牌</w:t>
            </w:r>
          </w:p>
        </w:tc>
        <w:tc>
          <w:tcPr>
            <w:tcW w:w="2536"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擅自占用城市道路、绿地、建筑物楼顶设置广告牌，面积达10平方米以上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擅自占用城市道路、绿地、建筑物楼顶设置广告牌，面积达20平方米以上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r>
    </w:tbl>
    <w:p>
      <w:pPr>
        <w:widowControl/>
        <w:jc w:val="left"/>
        <w:sectPr>
          <w:type w:val="continuous"/>
          <w:pgSz w:w="16838" w:h="11906" w:orient="landscape"/>
          <w:pgMar w:top="1389" w:right="1389" w:bottom="1389" w:left="1389" w:header="851" w:footer="992" w:gutter="0"/>
          <w:cols w:space="720" w:num="1"/>
          <w:docGrid w:linePitch="312" w:charSpace="0"/>
        </w:sect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8"/>
        <w:gridCol w:w="1486"/>
        <w:gridCol w:w="2523"/>
        <w:gridCol w:w="2359"/>
        <w:gridCol w:w="2536"/>
        <w:gridCol w:w="2332"/>
        <w:gridCol w:w="614"/>
        <w:gridCol w:w="61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序号</w:t>
            </w:r>
          </w:p>
        </w:tc>
        <w:tc>
          <w:tcPr>
            <w:tcW w:w="668"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大类</w:t>
            </w:r>
          </w:p>
        </w:tc>
        <w:tc>
          <w:tcPr>
            <w:tcW w:w="1486"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案件小类</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奖励标准</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44"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359"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A类（一般）</w:t>
            </w:r>
          </w:p>
        </w:tc>
        <w:tc>
          <w:tcPr>
            <w:tcW w:w="2536"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B类（严重）</w:t>
            </w:r>
          </w:p>
        </w:tc>
        <w:tc>
          <w:tcPr>
            <w:tcW w:w="2332" w:type="dxa"/>
            <w:tcBorders>
              <w:top w:val="single" w:color="auto" w:sz="4" w:space="0"/>
              <w:left w:val="single" w:color="auto" w:sz="4" w:space="0"/>
              <w:bottom w:val="single" w:color="auto" w:sz="4" w:space="0"/>
              <w:right w:val="single" w:color="auto" w:sz="4" w:space="0"/>
            </w:tcBorders>
            <w:vAlign w:val="top"/>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C类（特别严重）</w:t>
            </w:r>
          </w:p>
        </w:tc>
        <w:tc>
          <w:tcPr>
            <w:tcW w:w="184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16</w:t>
            </w:r>
          </w:p>
        </w:tc>
        <w:tc>
          <w:tcPr>
            <w:tcW w:w="6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园林绿化</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车压绿地</w:t>
            </w:r>
          </w:p>
        </w:tc>
        <w:tc>
          <w:tcPr>
            <w:tcW w:w="2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机动车辆在城市绿地上停放，查证属实并结案后给予2-10元奖励</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机动车辆在城市绿地上停放</w:t>
            </w:r>
          </w:p>
        </w:tc>
        <w:tc>
          <w:tcPr>
            <w:tcW w:w="2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机动车辆</w:t>
            </w:r>
            <w:r>
              <w:rPr>
                <w:rFonts w:hint="eastAsia" w:ascii="宋体" w:hAnsi="宋体" w:eastAsia="宋体" w:cs="Times New Roman"/>
                <w:color w:val="000000"/>
                <w:sz w:val="21"/>
                <w:szCs w:val="21"/>
                <w:lang w:eastAsia="zh-CN"/>
              </w:rPr>
              <w:t>在</w:t>
            </w:r>
            <w:r>
              <w:rPr>
                <w:rFonts w:hint="eastAsia" w:ascii="宋体" w:hAnsi="宋体" w:eastAsia="宋体" w:cs="Times New Roman"/>
                <w:color w:val="000000"/>
                <w:sz w:val="21"/>
                <w:szCs w:val="21"/>
              </w:rPr>
              <w:t>城市绿地上停放，倾压面积达5平米以上</w:t>
            </w:r>
          </w:p>
        </w:tc>
        <w:tc>
          <w:tcPr>
            <w:tcW w:w="2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机动车辆</w:t>
            </w:r>
            <w:r>
              <w:rPr>
                <w:rFonts w:hint="eastAsia" w:ascii="宋体" w:hAnsi="宋体" w:eastAsia="宋体" w:cs="Times New Roman"/>
                <w:color w:val="000000"/>
                <w:sz w:val="21"/>
                <w:szCs w:val="21"/>
                <w:lang w:eastAsia="zh-CN"/>
              </w:rPr>
              <w:t>在</w:t>
            </w:r>
            <w:r>
              <w:rPr>
                <w:rFonts w:hint="eastAsia" w:ascii="宋体" w:hAnsi="宋体" w:eastAsia="宋体" w:cs="Times New Roman"/>
                <w:color w:val="000000"/>
                <w:sz w:val="21"/>
                <w:szCs w:val="21"/>
              </w:rPr>
              <w:t>城市绿地上停放，倾压面积达15平米以上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17</w:t>
            </w: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绿地保洁</w:t>
            </w:r>
          </w:p>
        </w:tc>
        <w:tc>
          <w:tcPr>
            <w:tcW w:w="2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道路绿地及公共绿地中的生活垃圾、装潢垃圾、余泥渣土等，查证属实并结案后给予3-15元奖励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道路绿地及公共绿地中的生活垃圾、装潢垃圾、余泥渣土等情况</w:t>
            </w:r>
          </w:p>
        </w:tc>
        <w:tc>
          <w:tcPr>
            <w:tcW w:w="2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道路绿地及公共绿地中的生活垃圾、装潢垃圾、余泥渣土等，面积达3平方米以上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道路绿地及公共绿地中的生活垃圾、装潢垃圾、余泥渣土等，面积达6平方米以上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18</w:t>
            </w: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侵占绿地</w:t>
            </w:r>
          </w:p>
        </w:tc>
        <w:tc>
          <w:tcPr>
            <w:tcW w:w="2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主要道路树旁和绿地内堆放大件家具及其</w:t>
            </w:r>
            <w:r>
              <w:rPr>
                <w:rFonts w:hint="eastAsia" w:ascii="宋体" w:hAnsi="宋体" w:eastAsia="宋体" w:cs="Times New Roman"/>
                <w:color w:val="000000"/>
                <w:sz w:val="21"/>
                <w:szCs w:val="21"/>
                <w:lang w:eastAsia="zh-CN"/>
              </w:rPr>
              <w:t>他</w:t>
            </w:r>
            <w:r>
              <w:rPr>
                <w:rFonts w:hint="eastAsia" w:ascii="宋体" w:hAnsi="宋体" w:eastAsia="宋体" w:cs="Times New Roman"/>
                <w:color w:val="000000"/>
                <w:sz w:val="21"/>
                <w:szCs w:val="21"/>
              </w:rPr>
              <w:t>物体，查证属实并结案后给予3-15元奖励</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主要道路树旁和绿地内堆放大件家具及其</w:t>
            </w:r>
            <w:r>
              <w:rPr>
                <w:rFonts w:hint="eastAsia" w:ascii="宋体" w:hAnsi="宋体" w:eastAsia="宋体" w:cs="Times New Roman"/>
                <w:color w:val="000000"/>
                <w:sz w:val="21"/>
                <w:szCs w:val="21"/>
                <w:lang w:eastAsia="zh-CN"/>
              </w:rPr>
              <w:t>他</w:t>
            </w:r>
            <w:r>
              <w:rPr>
                <w:rFonts w:hint="eastAsia" w:ascii="宋体" w:hAnsi="宋体" w:eastAsia="宋体" w:cs="Times New Roman"/>
                <w:color w:val="000000"/>
                <w:sz w:val="21"/>
                <w:szCs w:val="21"/>
              </w:rPr>
              <w:t>物体</w:t>
            </w:r>
          </w:p>
        </w:tc>
        <w:tc>
          <w:tcPr>
            <w:tcW w:w="2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主要道路树旁和绿地内堆放大件家具及其</w:t>
            </w:r>
            <w:r>
              <w:rPr>
                <w:rFonts w:hint="eastAsia" w:ascii="宋体" w:hAnsi="宋体" w:eastAsia="宋体" w:cs="Times New Roman"/>
                <w:color w:val="000000"/>
                <w:sz w:val="21"/>
                <w:szCs w:val="21"/>
                <w:lang w:eastAsia="zh-CN"/>
              </w:rPr>
              <w:t>他</w:t>
            </w:r>
            <w:r>
              <w:rPr>
                <w:rFonts w:hint="eastAsia" w:ascii="宋体" w:hAnsi="宋体" w:eastAsia="宋体" w:cs="Times New Roman"/>
                <w:color w:val="000000"/>
                <w:sz w:val="21"/>
                <w:szCs w:val="21"/>
              </w:rPr>
              <w:t>物体，面积达3平方米以上</w:t>
            </w:r>
          </w:p>
        </w:tc>
        <w:tc>
          <w:tcPr>
            <w:tcW w:w="2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主要道路树旁和绿地内堆放大件家具及其</w:t>
            </w:r>
            <w:r>
              <w:rPr>
                <w:rFonts w:hint="eastAsia" w:ascii="宋体" w:hAnsi="宋体" w:eastAsia="宋体" w:cs="Times New Roman"/>
                <w:color w:val="000000"/>
                <w:sz w:val="21"/>
                <w:szCs w:val="21"/>
                <w:lang w:eastAsia="zh-CN"/>
              </w:rPr>
              <w:t>他</w:t>
            </w:r>
            <w:r>
              <w:rPr>
                <w:rFonts w:hint="eastAsia" w:ascii="宋体" w:hAnsi="宋体" w:eastAsia="宋体" w:cs="Times New Roman"/>
                <w:color w:val="000000"/>
                <w:sz w:val="21"/>
                <w:szCs w:val="21"/>
              </w:rPr>
              <w:t>物体，面积达6平方米以上</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19</w:t>
            </w: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绿地</w:t>
            </w:r>
          </w:p>
        </w:tc>
        <w:tc>
          <w:tcPr>
            <w:tcW w:w="2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主要道路两侧绿地、绿化带长期黄土裸露</w:t>
            </w:r>
            <w:r>
              <w:rPr>
                <w:rFonts w:hint="eastAsia" w:ascii="宋体" w:hAnsi="宋体" w:eastAsia="宋体" w:cs="Times New Roman"/>
                <w:color w:val="000000"/>
                <w:sz w:val="21"/>
                <w:szCs w:val="21"/>
                <w:lang w:eastAsia="zh-CN"/>
              </w:rPr>
              <w:t>（施工除外）</w:t>
            </w:r>
            <w:r>
              <w:rPr>
                <w:rFonts w:hint="eastAsia" w:ascii="宋体" w:hAnsi="宋体" w:eastAsia="宋体" w:cs="Times New Roman"/>
                <w:color w:val="000000"/>
                <w:sz w:val="21"/>
                <w:szCs w:val="21"/>
              </w:rPr>
              <w:t>，查证属实并结案后给予5-10元奖励</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主要道路两侧绿地、绿化带长期黄土裸露（施工除外）</w:t>
            </w:r>
          </w:p>
        </w:tc>
        <w:tc>
          <w:tcPr>
            <w:tcW w:w="2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主要道路两侧绿地、绿化带长期黄土裸露</w:t>
            </w:r>
            <w:r>
              <w:rPr>
                <w:rFonts w:hint="eastAsia" w:ascii="宋体" w:hAnsi="宋体" w:eastAsia="宋体" w:cs="Times New Roman"/>
                <w:color w:val="000000"/>
                <w:sz w:val="21"/>
                <w:szCs w:val="21"/>
                <w:lang w:eastAsia="zh-CN"/>
              </w:rPr>
              <w:t>面积达</w:t>
            </w:r>
            <w:r>
              <w:rPr>
                <w:rFonts w:hint="eastAsia" w:ascii="宋体" w:hAnsi="宋体" w:eastAsia="宋体" w:cs="Times New Roman"/>
                <w:color w:val="000000"/>
                <w:sz w:val="21"/>
                <w:szCs w:val="21"/>
              </w:rPr>
              <w:t>10平方米以上（施工除外），存在安全隐患</w:t>
            </w:r>
          </w:p>
        </w:tc>
        <w:tc>
          <w:tcPr>
            <w:tcW w:w="2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20</w:t>
            </w:r>
          </w:p>
        </w:tc>
        <w:tc>
          <w:tcPr>
            <w:tcW w:w="668" w:type="dxa"/>
            <w:vMerge w:val="continue"/>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000000"/>
                <w:sz w:val="21"/>
                <w:szCs w:val="21"/>
              </w:rPr>
            </w:pPr>
          </w:p>
        </w:tc>
        <w:tc>
          <w:tcPr>
            <w:tcW w:w="14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行道树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倒压占路</w:t>
            </w:r>
          </w:p>
        </w:tc>
        <w:tc>
          <w:tcPr>
            <w:tcW w:w="2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市政道路及城中村内出现行道树倒伏在路面，影响行人及交通，查证属实并结案后给予5元奖励</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市政道路及城中村内出现行道树倒伏在路面，影响行人及交通</w:t>
            </w:r>
          </w:p>
        </w:tc>
        <w:tc>
          <w:tcPr>
            <w:tcW w:w="184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r>
    </w:tbl>
    <w:p>
      <w:pPr>
        <w:bidi w:val="0"/>
        <w:jc w:val="left"/>
        <w:rPr>
          <w:rFonts w:hint="eastAsia"/>
          <w:lang w:val="en-US" w:eastAsia="zh-CN"/>
        </w:rPr>
      </w:pPr>
    </w:p>
    <w:tbl>
      <w:tblPr>
        <w:tblStyle w:val="3"/>
        <w:tblW w:w="14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683"/>
        <w:gridCol w:w="1471"/>
        <w:gridCol w:w="2523"/>
        <w:gridCol w:w="2359"/>
        <w:gridCol w:w="2536"/>
        <w:gridCol w:w="2332"/>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79"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序号</w:t>
            </w:r>
          </w:p>
        </w:tc>
        <w:tc>
          <w:tcPr>
            <w:tcW w:w="68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大类</w:t>
            </w:r>
          </w:p>
        </w:tc>
        <w:tc>
          <w:tcPr>
            <w:tcW w:w="1471"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案件小类</w:t>
            </w:r>
          </w:p>
        </w:tc>
        <w:tc>
          <w:tcPr>
            <w:tcW w:w="252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奖励标准</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44"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6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A类（一般）</w:t>
            </w:r>
          </w:p>
        </w:tc>
        <w:tc>
          <w:tcPr>
            <w:tcW w:w="253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B类（严重）</w:t>
            </w:r>
          </w:p>
        </w:tc>
        <w:tc>
          <w:tcPr>
            <w:tcW w:w="233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C类（特别严重）</w:t>
            </w:r>
          </w:p>
        </w:tc>
        <w:tc>
          <w:tcPr>
            <w:tcW w:w="18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0" w:hRule="atLeast"/>
          <w:jc w:val="center"/>
        </w:trPr>
        <w:tc>
          <w:tcPr>
            <w:tcW w:w="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21</w:t>
            </w:r>
          </w:p>
        </w:tc>
        <w:tc>
          <w:tcPr>
            <w:tcW w:w="6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园林绿化</w:t>
            </w:r>
          </w:p>
        </w:tc>
        <w:tc>
          <w:tcPr>
            <w:tcW w:w="14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绿化遮挡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交通设施</w:t>
            </w:r>
          </w:p>
        </w:tc>
        <w:tc>
          <w:tcPr>
            <w:tcW w:w="2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市区道路绿化树木种植密度过高，交通信号灯、道路交通指示牌、道路监控设备等设施被遮挡，查证属实并结案后给予10元奖励</w:t>
            </w:r>
          </w:p>
        </w:tc>
        <w:tc>
          <w:tcPr>
            <w:tcW w:w="72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一、交通信号灯：</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（一）机动</w:t>
            </w:r>
            <w:r>
              <w:rPr>
                <w:rFonts w:hint="eastAsia" w:ascii="宋体" w:hAnsi="宋体" w:eastAsia="宋体" w:cs="Times New Roman"/>
                <w:color w:val="000000"/>
                <w:sz w:val="21"/>
                <w:szCs w:val="21"/>
                <w:lang w:eastAsia="zh-CN"/>
              </w:rPr>
              <w:t>车</w:t>
            </w:r>
            <w:r>
              <w:rPr>
                <w:rFonts w:hint="eastAsia" w:ascii="宋体" w:hAnsi="宋体" w:eastAsia="宋体" w:cs="Times New Roman"/>
                <w:color w:val="000000"/>
                <w:sz w:val="21"/>
                <w:szCs w:val="21"/>
              </w:rPr>
              <w:t>信号灯：1</w:t>
            </w:r>
            <w:r>
              <w:rPr>
                <w:rFonts w:hint="eastAsia" w:ascii="宋体" w:hAnsi="宋体" w:eastAsia="宋体" w:cs="Times New Roman"/>
                <w:color w:val="000000"/>
                <w:sz w:val="21"/>
                <w:szCs w:val="21"/>
                <w:lang w:val="en-US" w:eastAsia="zh-CN"/>
              </w:rPr>
              <w:t>.</w:t>
            </w:r>
            <w:r>
              <w:rPr>
                <w:rFonts w:hint="eastAsia" w:ascii="宋体" w:hAnsi="宋体" w:eastAsia="宋体" w:cs="Times New Roman"/>
                <w:color w:val="000000"/>
                <w:sz w:val="21"/>
                <w:szCs w:val="21"/>
              </w:rPr>
              <w:t>从距离路口停车线约70米（道路边缘立道牙处）的角度观察交通信号灯，从该角度观察发现存在绿化遮挡交通信号灯；2</w:t>
            </w:r>
            <w:r>
              <w:rPr>
                <w:rFonts w:hint="eastAsia" w:ascii="宋体" w:hAnsi="宋体" w:eastAsia="宋体" w:cs="Times New Roman"/>
                <w:color w:val="000000"/>
                <w:sz w:val="21"/>
                <w:szCs w:val="21"/>
                <w:lang w:val="en-US" w:eastAsia="zh-CN"/>
              </w:rPr>
              <w:t>.</w:t>
            </w:r>
            <w:r>
              <w:rPr>
                <w:rFonts w:hint="eastAsia" w:ascii="宋体" w:hAnsi="宋体" w:eastAsia="宋体" w:cs="Times New Roman"/>
                <w:color w:val="000000"/>
                <w:sz w:val="21"/>
                <w:szCs w:val="21"/>
              </w:rPr>
              <w:t>信号灯灯具、灯芯及中间提示牌的四周被树叶遮挡；3</w:t>
            </w:r>
            <w:r>
              <w:rPr>
                <w:rFonts w:hint="eastAsia" w:ascii="宋体" w:hAnsi="宋体" w:eastAsia="宋体" w:cs="Times New Roman"/>
                <w:color w:val="000000"/>
                <w:sz w:val="21"/>
                <w:szCs w:val="21"/>
                <w:lang w:val="en-US" w:eastAsia="zh-CN"/>
              </w:rPr>
              <w:t>.</w:t>
            </w:r>
            <w:r>
              <w:rPr>
                <w:rFonts w:hint="eastAsia" w:ascii="宋体" w:hAnsi="宋体" w:eastAsia="宋体" w:cs="Times New Roman"/>
                <w:color w:val="000000"/>
                <w:sz w:val="21"/>
                <w:szCs w:val="21"/>
              </w:rPr>
              <w:t>在车辆行驶距停车线70米范围内被树叶遮挡司机视线</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（二）人行信号灯：1</w:t>
            </w:r>
            <w:r>
              <w:rPr>
                <w:rFonts w:hint="eastAsia" w:ascii="宋体" w:hAnsi="宋体" w:eastAsia="宋体" w:cs="Times New Roman"/>
                <w:color w:val="000000"/>
                <w:sz w:val="21"/>
                <w:szCs w:val="21"/>
                <w:lang w:val="en-US" w:eastAsia="zh-CN"/>
              </w:rPr>
              <w:t>.</w:t>
            </w:r>
            <w:r>
              <w:rPr>
                <w:rFonts w:hint="eastAsia" w:ascii="宋体" w:hAnsi="宋体" w:eastAsia="宋体" w:cs="Times New Roman"/>
                <w:color w:val="000000"/>
                <w:sz w:val="21"/>
                <w:szCs w:val="21"/>
              </w:rPr>
              <w:t>人行道距离路口约10米范围内，人行灯四周被树叶遮挡；2</w:t>
            </w:r>
            <w:r>
              <w:rPr>
                <w:rFonts w:hint="eastAsia" w:ascii="宋体" w:hAnsi="宋体" w:eastAsia="宋体" w:cs="Times New Roman"/>
                <w:color w:val="000000"/>
                <w:sz w:val="21"/>
                <w:szCs w:val="21"/>
                <w:lang w:val="en-US" w:eastAsia="zh-CN"/>
              </w:rPr>
              <w:t>.</w:t>
            </w:r>
            <w:r>
              <w:rPr>
                <w:rFonts w:hint="eastAsia" w:ascii="宋体" w:hAnsi="宋体" w:eastAsia="宋体" w:cs="Times New Roman"/>
                <w:color w:val="000000"/>
                <w:sz w:val="21"/>
                <w:szCs w:val="21"/>
              </w:rPr>
              <w:t>在人行信号灯杆周边，高于路面0.5米-6米垂直空间内，树木枝叶生长伸入该范围遮挡人行信号灯的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二、电子警察及其他道路监控设备：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距离路口停车线水平约15—25米范围内，高于路面0.5米-6米垂直空间内，树木枝叶生长伸入该范围遮挡电子警察设备的拍摄范围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三、道路交通指示牌：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道路交通指示牌四周被树叶遮挡</w:t>
            </w:r>
          </w:p>
        </w:tc>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r>
    </w:tbl>
    <w:p>
      <w:pPr>
        <w:bidi w:val="0"/>
        <w:jc w:val="left"/>
        <w:rPr>
          <w:rFonts w:hint="eastAsia"/>
          <w:lang w:val="en-US" w:eastAsia="zh-CN"/>
        </w:rPr>
      </w:pPr>
    </w:p>
    <w:tbl>
      <w:tblPr>
        <w:tblStyle w:val="3"/>
        <w:tblpPr w:leftFromText="180" w:rightFromText="180" w:vertAnchor="text" w:horzAnchor="margin" w:tblpX="-89" w:tblpY="1"/>
        <w:tblW w:w="14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744"/>
        <w:gridCol w:w="924"/>
        <w:gridCol w:w="3207"/>
        <w:gridCol w:w="2366"/>
        <w:gridCol w:w="2343"/>
        <w:gridCol w:w="2340"/>
        <w:gridCol w:w="660"/>
        <w:gridCol w:w="63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80"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序号</w:t>
            </w:r>
          </w:p>
        </w:tc>
        <w:tc>
          <w:tcPr>
            <w:tcW w:w="744"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大类</w:t>
            </w:r>
          </w:p>
        </w:tc>
        <w:tc>
          <w:tcPr>
            <w:tcW w:w="924"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案件小类</w:t>
            </w:r>
          </w:p>
        </w:tc>
        <w:tc>
          <w:tcPr>
            <w:tcW w:w="3207"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奖励标准</w:t>
            </w:r>
          </w:p>
        </w:tc>
        <w:tc>
          <w:tcPr>
            <w:tcW w:w="7049"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举报问题标准</w:t>
            </w:r>
          </w:p>
        </w:tc>
        <w:tc>
          <w:tcPr>
            <w:tcW w:w="1866"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3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236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A类（一般）</w:t>
            </w:r>
          </w:p>
        </w:tc>
        <w:tc>
          <w:tcPr>
            <w:tcW w:w="234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B类（严重）</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hint="eastAsia" w:ascii="黑体" w:hAnsi="黑体" w:eastAsia="黑体" w:cs="黑体"/>
                <w:sz w:val="30"/>
                <w:szCs w:val="30"/>
              </w:rPr>
            </w:pPr>
            <w:r>
              <w:rPr>
                <w:rFonts w:hint="eastAsia" w:ascii="黑体" w:hAnsi="黑体" w:eastAsia="黑体" w:cs="黑体"/>
                <w:sz w:val="30"/>
                <w:szCs w:val="30"/>
              </w:rPr>
              <w:t>C类（特别严重）</w:t>
            </w:r>
          </w:p>
        </w:tc>
        <w:tc>
          <w:tcPr>
            <w:tcW w:w="186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22</w:t>
            </w:r>
          </w:p>
        </w:tc>
        <w:tc>
          <w:tcPr>
            <w:tcW w:w="74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环卫</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设施</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环卫工具房</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市政道路两侧存有破损、脏乱差、保洁工具摆放不整齐，查证属实并结案后给予5-10元奖励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市政道路两侧存在破损、脏乱差、保洁工具摆放不整齐</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市政道路两侧严重破损，存在安全隐患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23</w:t>
            </w:r>
          </w:p>
        </w:tc>
        <w:tc>
          <w:tcPr>
            <w:tcW w:w="74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垃圾转运站</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市政道路两侧及城中村内、集贸市场周边的垃圾转运站附属设施严重破损、垃圾不及时清理，查证属实并结案后给予5-10元奖励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市政道路两侧及城中村内、集贸市场周边的垃圾转运站附属设施破损、垃圾不及时清理</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市政道路两侧及城中村内、集贸市场周边的垃圾转运站附属设施严重破损，存在安全隐患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24</w:t>
            </w:r>
          </w:p>
        </w:tc>
        <w:tc>
          <w:tcPr>
            <w:tcW w:w="74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垃圾收集容器</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市政道路两侧及城中村内、集贸市场周边的垃圾收集容器存在有缺失、严重破损、污垢、3米以内垃圾未清理、满溢严重，查证属实并结案后给予5-10元奖励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市政道路两侧及城中村内、集贸市场周边垃圾收集容器存在破损、污垢、3米以内垃圾未清理、满溢</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市政道路两侧及城中村内、集贸市场周边垃圾收集容器严重破损、满溢严重，存在安全隐患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25</w:t>
            </w:r>
          </w:p>
        </w:tc>
        <w:tc>
          <w:tcPr>
            <w:tcW w:w="7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公共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厕所</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市政道路两侧的公共厕所外观损毁、脏乱差、未设标识牌，查证属实并结案后给予5-10元奖励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市政道路两侧的公共厕所脏乱差、未设标识牌</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市政道路两侧的公共厕所外观损毁严重，存在安全隐患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序号</w:t>
            </w:r>
          </w:p>
        </w:tc>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大类</w:t>
            </w:r>
          </w:p>
        </w:tc>
        <w:tc>
          <w:tcPr>
            <w:tcW w:w="9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案件小类</w:t>
            </w:r>
          </w:p>
        </w:tc>
        <w:tc>
          <w:tcPr>
            <w:tcW w:w="32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奖励标准</w:t>
            </w:r>
          </w:p>
        </w:tc>
        <w:tc>
          <w:tcPr>
            <w:tcW w:w="70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举报问题标准</w:t>
            </w:r>
          </w:p>
        </w:tc>
        <w:tc>
          <w:tcPr>
            <w:tcW w:w="1866" w:type="dxa"/>
            <w:gridSpan w:val="3"/>
            <w:vMerge w:val="restart"/>
            <w:tcBorders>
              <w:top w:val="single" w:color="auto" w:sz="4" w:space="0"/>
              <w:left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c>
          <w:tcPr>
            <w:tcW w:w="3207"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黑体" w:hAnsi="黑体" w:eastAsia="黑体" w:cs="黑体"/>
                <w:sz w:val="32"/>
                <w:szCs w:val="32"/>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黑体" w:hAnsi="黑体" w:eastAsia="黑体" w:cs="黑体"/>
                <w:sz w:val="32"/>
                <w:szCs w:val="32"/>
              </w:rPr>
            </w:pPr>
            <w:r>
              <w:rPr>
                <w:rFonts w:hint="eastAsia" w:ascii="黑体" w:hAnsi="黑体" w:eastAsia="黑体" w:cs="黑体"/>
                <w:sz w:val="32"/>
                <w:szCs w:val="32"/>
              </w:rPr>
              <w:t>A类（一般）</w:t>
            </w:r>
          </w:p>
        </w:tc>
        <w:tc>
          <w:tcPr>
            <w:tcW w:w="2343"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黑体" w:hAnsi="黑体" w:eastAsia="黑体" w:cs="黑体"/>
                <w:sz w:val="32"/>
                <w:szCs w:val="32"/>
              </w:rPr>
            </w:pPr>
            <w:r>
              <w:rPr>
                <w:rFonts w:hint="eastAsia" w:ascii="黑体" w:hAnsi="黑体" w:eastAsia="黑体" w:cs="黑体"/>
                <w:sz w:val="32"/>
                <w:szCs w:val="32"/>
              </w:rPr>
              <w:t>B类（严重）</w:t>
            </w:r>
          </w:p>
        </w:tc>
        <w:tc>
          <w:tcPr>
            <w:tcW w:w="234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黑体" w:hAnsi="黑体" w:eastAsia="黑体" w:cs="黑体"/>
                <w:sz w:val="32"/>
                <w:szCs w:val="32"/>
              </w:rPr>
            </w:pPr>
            <w:r>
              <w:rPr>
                <w:rFonts w:hint="eastAsia" w:ascii="黑体" w:hAnsi="黑体" w:eastAsia="黑体" w:cs="黑体"/>
                <w:sz w:val="32"/>
                <w:szCs w:val="32"/>
              </w:rPr>
              <w:t>C类（特别严重）</w:t>
            </w:r>
          </w:p>
        </w:tc>
        <w:tc>
          <w:tcPr>
            <w:tcW w:w="1866" w:type="dxa"/>
            <w:gridSpan w:val="3"/>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c>
          <w:tcPr>
            <w:tcW w:w="7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设施</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灯箱霓虹灯</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市政道路两侧楼面上或灯柱上的霓虹灯存在严重破损、缺字、漏字，查证属实并结案后给予3-5元奖励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市政道路两侧楼面上或灯柱上的霓虹灯存在破损、缺字、漏字</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市政道路两侧楼面上或灯柱上的霓虹灯严重破损、存在安全隐患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27</w:t>
            </w: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广告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牌匾</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市政道路两侧楼顶或楼面上的大型广告牌匾严重破损，查证属实并结案后给予3-5元奖励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市政道路两侧楼顶或楼面上的大型广告牌匾破损，面积达0.5平方米以上</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市政道路两侧楼顶或楼面上的大型广告牌匾严重破损，面积达2平方米以上，存在安全隐患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28</w:t>
            </w: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报刊亭</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w:t>
            </w:r>
            <w:r>
              <w:rPr>
                <w:rFonts w:hint="eastAsia" w:ascii="宋体" w:hAnsi="宋体" w:eastAsia="宋体" w:cs="宋体"/>
                <w:color w:val="000000"/>
                <w:sz w:val="21"/>
                <w:szCs w:val="21"/>
                <w:lang w:eastAsia="zh-CN"/>
              </w:rPr>
              <w:t>报刊亭</w:t>
            </w:r>
            <w:r>
              <w:rPr>
                <w:rFonts w:hint="eastAsia" w:ascii="宋体" w:hAnsi="宋体" w:eastAsia="宋体" w:cs="宋体"/>
                <w:color w:val="000000"/>
                <w:sz w:val="21"/>
                <w:szCs w:val="21"/>
              </w:rPr>
              <w:t>存在有严重破损、设置不当（占用盲道、绿化带）、外表不整洁、周边环境脏乱差情况严重，查证属实并结案后给予3-5元奖励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w:t>
            </w:r>
            <w:r>
              <w:rPr>
                <w:rFonts w:hint="eastAsia" w:ascii="宋体" w:hAnsi="宋体" w:eastAsia="宋体" w:cs="宋体"/>
                <w:color w:val="000000"/>
                <w:sz w:val="21"/>
                <w:szCs w:val="21"/>
                <w:lang w:eastAsia="zh-CN"/>
              </w:rPr>
              <w:t>报刊亭</w:t>
            </w:r>
            <w:r>
              <w:rPr>
                <w:rFonts w:hint="eastAsia" w:ascii="宋体" w:hAnsi="宋体" w:eastAsia="宋体" w:cs="宋体"/>
                <w:color w:val="000000"/>
                <w:sz w:val="21"/>
                <w:szCs w:val="21"/>
              </w:rPr>
              <w:t>存在有破损、外表不整洁、周边环境脏乱差等情况</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w:t>
            </w:r>
            <w:r>
              <w:rPr>
                <w:rFonts w:hint="eastAsia" w:ascii="宋体" w:hAnsi="宋体" w:eastAsia="宋体" w:cs="宋体"/>
                <w:color w:val="000000"/>
                <w:sz w:val="21"/>
                <w:szCs w:val="21"/>
                <w:lang w:eastAsia="zh-CN"/>
              </w:rPr>
              <w:t>报刊亭</w:t>
            </w:r>
            <w:r>
              <w:rPr>
                <w:rFonts w:hint="eastAsia" w:ascii="宋体" w:hAnsi="宋体" w:eastAsia="宋体" w:cs="宋体"/>
                <w:color w:val="000000"/>
                <w:sz w:val="21"/>
                <w:szCs w:val="21"/>
              </w:rPr>
              <w:t>存在有严重破损、设置不当（占用盲道、绿化带）、外表不整洁、周边环境脏乱差情况严重，存在安全隐患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29</w:t>
            </w: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电话亭</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市政道路两侧电话亭存严重破损、无法使用，查证属实并结案后给予3-5元奖励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市政道路两侧电话亭存在破损、外表不整洁、影响使用</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市政道路两侧电话亭严重破损、无法使用，存在安全隐患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邮筒</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市政道路两侧邮筒存在有缺失、严重破损，查证属实并结案后给予3-5元奖励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市政道路两侧邮筒存在破损、外表不整洁、影响使用</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市政道路两侧邮筒存在缺失、严重破损，存在安全隐患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序号</w:t>
            </w:r>
          </w:p>
        </w:tc>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大类</w:t>
            </w:r>
          </w:p>
        </w:tc>
        <w:tc>
          <w:tcPr>
            <w:tcW w:w="9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案件小类</w:t>
            </w:r>
          </w:p>
        </w:tc>
        <w:tc>
          <w:tcPr>
            <w:tcW w:w="32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奖励标准</w:t>
            </w:r>
          </w:p>
        </w:tc>
        <w:tc>
          <w:tcPr>
            <w:tcW w:w="70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r>
              <w:rPr>
                <w:rFonts w:hint="eastAsia" w:ascii="黑体" w:hAnsi="黑体" w:eastAsia="黑体" w:cs="黑体"/>
                <w:sz w:val="32"/>
                <w:szCs w:val="32"/>
              </w:rPr>
              <w:t>举报问题标准</w:t>
            </w:r>
          </w:p>
        </w:tc>
        <w:tc>
          <w:tcPr>
            <w:tcW w:w="1866" w:type="dxa"/>
            <w:gridSpan w:val="3"/>
            <w:vMerge w:val="restart"/>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sz w:val="32"/>
                <w:szCs w:val="32"/>
              </w:rPr>
            </w:pPr>
            <w:r>
              <w:rPr>
                <w:rFonts w:hint="eastAsia" w:ascii="黑体" w:hAnsi="黑体" w:eastAsia="黑体" w:cs="黑体"/>
                <w:sz w:val="32"/>
                <w:szCs w:val="32"/>
              </w:rPr>
              <w:t>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p>
        </w:tc>
        <w:tc>
          <w:tcPr>
            <w:tcW w:w="32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sz w:val="32"/>
                <w:szCs w:val="32"/>
              </w:rPr>
            </w:pPr>
          </w:p>
        </w:tc>
        <w:tc>
          <w:tcPr>
            <w:tcW w:w="2366" w:type="dxa"/>
            <w:tcBorders>
              <w:top w:val="single" w:color="auto" w:sz="4" w:space="0"/>
              <w:left w:val="single" w:color="auto" w:sz="4" w:space="0"/>
              <w:bottom w:val="single" w:color="auto" w:sz="4" w:space="0"/>
              <w:right w:val="single" w:color="auto" w:sz="4" w:space="0"/>
            </w:tcBorders>
            <w:vAlign w:val="top"/>
          </w:tcPr>
          <w:p>
            <w:pPr>
              <w:widowControl/>
              <w:jc w:val="center"/>
              <w:rPr>
                <w:rFonts w:ascii="黑体" w:hAnsi="黑体" w:eastAsia="黑体" w:cs="黑体"/>
                <w:sz w:val="32"/>
                <w:szCs w:val="32"/>
              </w:rPr>
            </w:pPr>
            <w:r>
              <w:rPr>
                <w:rFonts w:hint="eastAsia" w:ascii="黑体" w:hAnsi="黑体" w:eastAsia="黑体" w:cs="黑体"/>
                <w:sz w:val="32"/>
                <w:szCs w:val="32"/>
              </w:rPr>
              <w:t>A类（一般）</w:t>
            </w:r>
          </w:p>
        </w:tc>
        <w:tc>
          <w:tcPr>
            <w:tcW w:w="2343" w:type="dxa"/>
            <w:tcBorders>
              <w:top w:val="single" w:color="auto" w:sz="4" w:space="0"/>
              <w:left w:val="single" w:color="auto" w:sz="4" w:space="0"/>
              <w:bottom w:val="single" w:color="auto" w:sz="4" w:space="0"/>
              <w:right w:val="single" w:color="auto" w:sz="4" w:space="0"/>
            </w:tcBorders>
            <w:vAlign w:val="top"/>
          </w:tcPr>
          <w:p>
            <w:pPr>
              <w:widowControl/>
              <w:jc w:val="center"/>
              <w:rPr>
                <w:rFonts w:ascii="黑体" w:hAnsi="黑体" w:eastAsia="黑体" w:cs="黑体"/>
                <w:sz w:val="32"/>
                <w:szCs w:val="32"/>
              </w:rPr>
            </w:pPr>
            <w:r>
              <w:rPr>
                <w:rFonts w:hint="eastAsia" w:ascii="黑体" w:hAnsi="黑体" w:eastAsia="黑体" w:cs="黑体"/>
                <w:sz w:val="32"/>
                <w:szCs w:val="32"/>
              </w:rPr>
              <w:t>B类（严重）</w:t>
            </w:r>
          </w:p>
        </w:tc>
        <w:tc>
          <w:tcPr>
            <w:tcW w:w="2340" w:type="dxa"/>
            <w:tcBorders>
              <w:top w:val="single" w:color="auto" w:sz="4" w:space="0"/>
              <w:left w:val="single" w:color="auto" w:sz="4" w:space="0"/>
              <w:bottom w:val="single" w:color="auto" w:sz="4" w:space="0"/>
              <w:right w:val="single" w:color="auto" w:sz="4" w:space="0"/>
            </w:tcBorders>
            <w:vAlign w:val="top"/>
          </w:tcPr>
          <w:p>
            <w:pPr>
              <w:widowControl/>
              <w:jc w:val="center"/>
              <w:rPr>
                <w:rFonts w:ascii="黑体" w:hAnsi="黑体" w:eastAsia="黑体" w:cs="黑体"/>
                <w:sz w:val="32"/>
                <w:szCs w:val="32"/>
              </w:rPr>
            </w:pPr>
            <w:r>
              <w:rPr>
                <w:rFonts w:hint="eastAsia" w:ascii="黑体" w:hAnsi="黑体" w:eastAsia="黑体" w:cs="黑体"/>
                <w:sz w:val="32"/>
                <w:szCs w:val="32"/>
              </w:rPr>
              <w:t>C类（特别严重）</w:t>
            </w:r>
          </w:p>
        </w:tc>
        <w:tc>
          <w:tcPr>
            <w:tcW w:w="1866" w:type="dxa"/>
            <w:gridSpan w:val="3"/>
            <w:vMerge w:val="continue"/>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31</w:t>
            </w:r>
          </w:p>
        </w:tc>
        <w:tc>
          <w:tcPr>
            <w:tcW w:w="7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设施</w:t>
            </w: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井盖</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人行道、绿道、快速路上的井盖丢失、严重破损，查证属实并结案后给予3-5元奖励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eastAsia="zh-CN"/>
              </w:rPr>
              <w:t>人</w:t>
            </w:r>
            <w:r>
              <w:rPr>
                <w:rFonts w:hint="eastAsia" w:ascii="宋体" w:hAnsi="宋体" w:eastAsia="宋体" w:cs="Times New Roman"/>
                <w:color w:val="000000"/>
                <w:sz w:val="21"/>
                <w:szCs w:val="21"/>
              </w:rPr>
              <w:t>行道、绿道、快速路上的井盖破损</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eastAsia="zh-CN"/>
              </w:rPr>
              <w:t>人</w:t>
            </w:r>
            <w:r>
              <w:rPr>
                <w:rFonts w:hint="eastAsia" w:ascii="宋体" w:hAnsi="宋体" w:eastAsia="宋体" w:cs="Times New Roman"/>
                <w:color w:val="000000"/>
                <w:sz w:val="21"/>
                <w:szCs w:val="21"/>
              </w:rPr>
              <w:t>行道、绿道、快速路上的井盖丢失、严重破损，存在安全隐患</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32</w:t>
            </w:r>
          </w:p>
        </w:tc>
        <w:tc>
          <w:tcPr>
            <w:tcW w:w="7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下水道堵塞或破损</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市政道路两侧及城中村内、集贸市场周边油垢沉淀造成下水道堵塞</w:t>
            </w:r>
            <w:r>
              <w:rPr>
                <w:rFonts w:hint="eastAsia" w:ascii="宋体" w:hAnsi="宋体" w:eastAsia="宋体" w:cs="Times New Roman"/>
                <w:color w:val="000000"/>
                <w:sz w:val="21"/>
                <w:szCs w:val="21"/>
                <w:lang w:eastAsia="zh-CN"/>
              </w:rPr>
              <w:t>、</w:t>
            </w:r>
            <w:r>
              <w:rPr>
                <w:rFonts w:hint="eastAsia" w:ascii="宋体" w:hAnsi="宋体" w:eastAsia="宋体" w:cs="Times New Roman"/>
                <w:color w:val="000000"/>
                <w:sz w:val="21"/>
                <w:szCs w:val="21"/>
              </w:rPr>
              <w:t>污水外溢，查证属实并结案后给予3-15元奖励</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市政道路两侧及城中村内、集贸市场周边油垢沉淀造成下水道堵塞、污水外溢</w:t>
            </w:r>
          </w:p>
        </w:tc>
        <w:tc>
          <w:tcPr>
            <w:tcW w:w="2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市政道路两侧及城中村内、集贸市场周边油垢沉淀造成下水道堵塞、污水外溢，面积达5平方米以上</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市政道路两侧及城中村内、集贸市场周边油垢沉淀造成下水道堵塞、污水外溢，面积达15平方米以上</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3</w:t>
            </w:r>
          </w:p>
        </w:tc>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15</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1"/>
          <w:szCs w:val="21"/>
        </w:rPr>
      </w:pPr>
    </w:p>
    <w:p>
      <w:pPr>
        <w:bidi w:val="0"/>
        <w:jc w:val="left"/>
        <w:rPr>
          <w:rFonts w:hint="eastAsia"/>
          <w:lang w:val="en-US" w:eastAsia="zh-CN"/>
        </w:rPr>
      </w:pPr>
    </w:p>
    <w:p/>
    <w:p/>
    <w:p/>
    <w:p/>
    <w:sectPr>
      <w:footerReference r:id="rId4" w:type="default"/>
      <w:pgSz w:w="16838" w:h="11906" w:orient="landscape"/>
      <w:pgMar w:top="1588" w:right="2098"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５</w:t>
                          </w:r>
                          <w:r>
                            <w:rPr>
                              <w:rFonts w:ascii="宋体" w:hAnsi="宋体"/>
                              <w:sz w:val="28"/>
                              <w:szCs w:val="28"/>
                            </w:rPr>
                            <w:fldChar w:fldCharType="end"/>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５</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- 13 -</w:t>
    </w:r>
    <w:r>
      <w:rPr>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0097C"/>
    <w:rsid w:val="0CA035D5"/>
    <w:rsid w:val="135F4E02"/>
    <w:rsid w:val="6020097C"/>
    <w:rsid w:val="60791BA1"/>
    <w:rsid w:val="749E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List Paragraph"/>
    <w:basedOn w:val="1"/>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2020-03-17T08:28:00Z</dcterms:created>
  <dc:creator>刘荣华</dc:creator>
  <cp:lastModifiedBy>廖苑华</cp:lastModifiedBy>
  <dcterms:modified xsi:type="dcterms:W3CDTF">2020-03-24T07:11:03Z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