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Cs/>
          <w:color w:val="000000"/>
          <w:sz w:val="44"/>
          <w:szCs w:val="44"/>
        </w:rPr>
        <w:t>关于</w:t>
      </w:r>
      <w:r>
        <w:rPr>
          <w:rFonts w:hint="eastAsia" w:ascii="方正小标宋简体" w:hAnsi="方正小标宋简体" w:eastAsia="方正小标宋简体" w:cs="方正小标宋简体"/>
          <w:sz w:val="44"/>
          <w:szCs w:val="44"/>
        </w:rPr>
        <w:t>《龙岗区文化产业公共服务平台认定与管理办法》</w:t>
      </w:r>
      <w:r>
        <w:rPr>
          <w:rFonts w:hint="eastAsia" w:ascii="方正小标宋简体" w:hAnsi="方正小标宋简体" w:eastAsia="方正小标宋简体" w:cs="方正小标宋简体"/>
          <w:bCs/>
          <w:color w:val="000000"/>
          <w:sz w:val="44"/>
          <w:szCs w:val="44"/>
        </w:rPr>
        <w:t>的解读方案</w:t>
      </w:r>
    </w:p>
    <w:p>
      <w:pPr>
        <w:spacing w:line="560" w:lineRule="exact"/>
        <w:rPr>
          <w:rFonts w:hint="eastAsia" w:ascii="方正小标宋简体" w:hAnsi="方正小标宋简体" w:eastAsia="方正小标宋简体" w:cs="方正小标宋简体"/>
          <w:sz w:val="32"/>
          <w:szCs w:val="32"/>
        </w:rPr>
      </w:pPr>
    </w:p>
    <w:p>
      <w:pPr>
        <w:spacing w:line="560" w:lineRule="exact"/>
        <w:ind w:firstLine="630"/>
        <w:rPr>
          <w:rFonts w:ascii="仿宋_GB2312" w:hAnsi="仿宋" w:eastAsia="仿宋_GB2312"/>
          <w:color w:val="000000"/>
          <w:sz w:val="32"/>
          <w:szCs w:val="32"/>
        </w:rPr>
      </w:pPr>
      <w:r>
        <w:rPr>
          <w:rFonts w:hint="eastAsia" w:ascii="仿宋_GB2312" w:hAnsi="仿宋" w:eastAsia="仿宋_GB2312"/>
          <w:color w:val="000000"/>
          <w:sz w:val="32"/>
          <w:szCs w:val="32"/>
        </w:rPr>
        <w:t>为进一步做好政策解读工作，提高信息公开质量和实效，增强政策的贯彻力和执行力，加快推进龙岗区文化产业</w:t>
      </w:r>
      <w:r>
        <w:rPr>
          <w:rFonts w:ascii="仿宋_GB2312" w:hAnsi="仿宋" w:eastAsia="仿宋_GB2312"/>
          <w:color w:val="000000"/>
          <w:sz w:val="32"/>
          <w:szCs w:val="32"/>
        </w:rPr>
        <w:t>发展</w:t>
      </w:r>
      <w:r>
        <w:rPr>
          <w:rFonts w:hint="eastAsia" w:ascii="仿宋_GB2312" w:hAnsi="仿宋" w:eastAsia="仿宋_GB2312"/>
          <w:color w:val="000000"/>
          <w:sz w:val="32"/>
          <w:szCs w:val="32"/>
        </w:rPr>
        <w:t>，根据《深圳市龙岗区人民政府办公室关于进一步做好政策解读工作的通知》（深龙府办〔2017〕23号）精神，特制定</w:t>
      </w:r>
      <w:r>
        <w:rPr>
          <w:rFonts w:hint="eastAsia" w:ascii="仿宋" w:hAnsi="仿宋" w:eastAsia="仿宋" w:cs="仿宋"/>
          <w:sz w:val="32"/>
          <w:szCs w:val="32"/>
        </w:rPr>
        <w:t>《龙岗区文化产业公共服务平台认定与管理办法》</w:t>
      </w:r>
      <w:r>
        <w:rPr>
          <w:rFonts w:hint="eastAsia" w:ascii="仿宋_GB2312" w:hAnsi="仿宋" w:eastAsia="仿宋_GB2312"/>
          <w:color w:val="000000"/>
          <w:sz w:val="32"/>
          <w:szCs w:val="32"/>
        </w:rPr>
        <w:t>（以下简称《认定办法》）的相关解读方案如下：</w:t>
      </w:r>
    </w:p>
    <w:p>
      <w:pPr>
        <w:spacing w:line="560" w:lineRule="exact"/>
        <w:ind w:firstLine="630"/>
        <w:rPr>
          <w:rFonts w:ascii="黑体" w:hAnsi="黑体" w:eastAsia="黑体"/>
          <w:sz w:val="32"/>
          <w:szCs w:val="32"/>
        </w:rPr>
      </w:pPr>
      <w:r>
        <w:rPr>
          <w:rFonts w:hint="eastAsia" w:ascii="黑体" w:hAnsi="黑体" w:eastAsia="黑体"/>
          <w:sz w:val="32"/>
          <w:szCs w:val="32"/>
        </w:rPr>
        <w:t>一、解读提纲</w:t>
      </w:r>
    </w:p>
    <w:p>
      <w:pPr>
        <w:spacing w:line="560" w:lineRule="exact"/>
        <w:ind w:firstLine="630"/>
        <w:rPr>
          <w:rFonts w:ascii="仿宋_GB2312" w:eastAsia="仿宋_GB2312"/>
          <w:sz w:val="32"/>
          <w:szCs w:val="32"/>
        </w:rPr>
      </w:pPr>
      <w:r>
        <w:rPr>
          <w:rFonts w:hint="eastAsia" w:ascii="仿宋_GB2312" w:eastAsia="仿宋_GB2312"/>
          <w:sz w:val="32"/>
          <w:szCs w:val="32"/>
        </w:rPr>
        <w:t>（一）《认定办法》出台的背景和依据；</w:t>
      </w:r>
    </w:p>
    <w:p>
      <w:pPr>
        <w:spacing w:line="560" w:lineRule="exact"/>
        <w:ind w:firstLine="630"/>
        <w:rPr>
          <w:rFonts w:ascii="仿宋_GB2312" w:eastAsia="仿宋_GB2312"/>
          <w:sz w:val="32"/>
          <w:szCs w:val="32"/>
        </w:rPr>
      </w:pPr>
      <w:r>
        <w:rPr>
          <w:rFonts w:hint="eastAsia" w:ascii="仿宋_GB2312" w:eastAsia="仿宋_GB2312"/>
          <w:sz w:val="32"/>
          <w:szCs w:val="32"/>
        </w:rPr>
        <w:t>（二）出台《认定办法》的目标任务；</w:t>
      </w:r>
    </w:p>
    <w:p>
      <w:pPr>
        <w:spacing w:line="560" w:lineRule="exact"/>
        <w:ind w:firstLine="630"/>
        <w:rPr>
          <w:rFonts w:ascii="仿宋_GB2312" w:eastAsia="仿宋_GB2312"/>
          <w:sz w:val="32"/>
          <w:szCs w:val="32"/>
        </w:rPr>
      </w:pPr>
      <w:r>
        <w:rPr>
          <w:rFonts w:hint="eastAsia" w:ascii="仿宋_GB2312" w:eastAsia="仿宋_GB2312"/>
          <w:sz w:val="32"/>
          <w:szCs w:val="32"/>
        </w:rPr>
        <w:t>（三）认定的标准；</w:t>
      </w:r>
    </w:p>
    <w:p>
      <w:pPr>
        <w:spacing w:line="560" w:lineRule="exact"/>
        <w:ind w:firstLine="630"/>
        <w:rPr>
          <w:rFonts w:ascii="仿宋_GB2312" w:eastAsia="仿宋_GB2312"/>
          <w:sz w:val="32"/>
          <w:szCs w:val="32"/>
        </w:rPr>
      </w:pPr>
      <w:r>
        <w:rPr>
          <w:rFonts w:hint="eastAsia" w:ascii="仿宋_GB2312" w:eastAsia="仿宋_GB2312"/>
          <w:sz w:val="32"/>
          <w:szCs w:val="32"/>
        </w:rPr>
        <w:t>（四）认定的申请程序；</w:t>
      </w:r>
    </w:p>
    <w:p>
      <w:pPr>
        <w:spacing w:line="560" w:lineRule="exact"/>
        <w:ind w:firstLine="630"/>
        <w:rPr>
          <w:rFonts w:ascii="仿宋_GB2312" w:eastAsia="仿宋_GB2312"/>
          <w:sz w:val="32"/>
          <w:szCs w:val="32"/>
        </w:rPr>
      </w:pPr>
      <w:r>
        <w:rPr>
          <w:rFonts w:hint="eastAsia" w:ascii="仿宋_GB2312" w:eastAsia="仿宋_GB2312"/>
          <w:sz w:val="32"/>
          <w:szCs w:val="32"/>
        </w:rPr>
        <w:t>（五）有关定义诠释。</w:t>
      </w:r>
    </w:p>
    <w:p>
      <w:pPr>
        <w:spacing w:line="560" w:lineRule="exact"/>
        <w:ind w:firstLine="630"/>
        <w:rPr>
          <w:rFonts w:ascii="黑体" w:hAnsi="黑体" w:eastAsia="黑体"/>
          <w:sz w:val="32"/>
          <w:szCs w:val="32"/>
        </w:rPr>
      </w:pPr>
      <w:r>
        <w:rPr>
          <w:rFonts w:hint="eastAsia" w:ascii="黑体" w:hAnsi="黑体" w:eastAsia="黑体"/>
          <w:sz w:val="32"/>
          <w:szCs w:val="32"/>
        </w:rPr>
        <w:t>二、解读形式</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撰稿解读。</w:t>
      </w:r>
    </w:p>
    <w:p>
      <w:pPr>
        <w:numPr>
          <w:ilvl w:val="0"/>
          <w:numId w:val="1"/>
        </w:numPr>
        <w:spacing w:line="560" w:lineRule="exact"/>
        <w:ind w:firstLine="630"/>
        <w:rPr>
          <w:rFonts w:ascii="黑体" w:hAnsi="黑体" w:eastAsia="黑体"/>
          <w:sz w:val="32"/>
          <w:szCs w:val="32"/>
        </w:rPr>
      </w:pPr>
      <w:r>
        <w:rPr>
          <w:rFonts w:hint="eastAsia" w:ascii="黑体" w:hAnsi="黑体" w:eastAsia="黑体"/>
          <w:sz w:val="32"/>
          <w:szCs w:val="32"/>
        </w:rPr>
        <w:t>解读途径</w:t>
      </w:r>
    </w:p>
    <w:p>
      <w:pPr>
        <w:spacing w:line="560" w:lineRule="exact"/>
        <w:ind w:firstLine="640" w:firstLineChars="200"/>
        <w:rPr>
          <w:rFonts w:ascii="黑体" w:hAnsi="黑体" w:eastAsia="黑体"/>
          <w:sz w:val="32"/>
          <w:szCs w:val="32"/>
        </w:rPr>
      </w:pPr>
      <w:r>
        <w:rPr>
          <w:rFonts w:hint="eastAsia" w:ascii="仿宋_GB2312" w:hAnsi="宋体" w:eastAsia="仿宋_GB2312"/>
          <w:sz w:val="32"/>
          <w:szCs w:val="32"/>
        </w:rPr>
        <w:t>新闻媒体、政府部门网站、宣传资料</w:t>
      </w:r>
      <w:r>
        <w:rPr>
          <w:rFonts w:hint="eastAsia" w:ascii="仿宋_GB2312" w:eastAsia="仿宋_GB2312"/>
          <w:sz w:val="32"/>
          <w:szCs w:val="32"/>
        </w:rPr>
        <w:t>。</w:t>
      </w:r>
    </w:p>
    <w:p>
      <w:pPr>
        <w:numPr>
          <w:ilvl w:val="0"/>
          <w:numId w:val="1"/>
        </w:numPr>
        <w:spacing w:line="560" w:lineRule="exact"/>
        <w:ind w:firstLine="630"/>
        <w:rPr>
          <w:rFonts w:ascii="黑体" w:hAnsi="黑体" w:eastAsia="黑体"/>
          <w:sz w:val="32"/>
          <w:szCs w:val="32"/>
        </w:rPr>
      </w:pPr>
      <w:r>
        <w:rPr>
          <w:rFonts w:hint="eastAsia" w:ascii="黑体" w:hAnsi="黑体" w:eastAsia="黑体"/>
          <w:sz w:val="32"/>
          <w:szCs w:val="32"/>
        </w:rPr>
        <w:t>解读时间</w:t>
      </w:r>
    </w:p>
    <w:p>
      <w:pPr>
        <w:spacing w:line="560" w:lineRule="exact"/>
        <w:ind w:firstLine="640" w:firstLineChars="200"/>
        <w:rPr>
          <w:rFonts w:ascii="仿宋_GB2312" w:hAnsi="黑体" w:eastAsia="仿宋_GB2312"/>
          <w:sz w:val="32"/>
          <w:szCs w:val="32"/>
        </w:rPr>
      </w:pPr>
      <w:r>
        <w:rPr>
          <w:rFonts w:hint="eastAsia" w:ascii="仿宋_GB2312" w:eastAsia="仿宋_GB2312"/>
          <w:sz w:val="32"/>
          <w:szCs w:val="32"/>
        </w:rPr>
        <w:t>《认定办法》发布后及实施期间</w:t>
      </w:r>
      <w:r>
        <w:rPr>
          <w:rFonts w:hint="eastAsia" w:ascii="仿宋_GB2312" w:hAnsi="黑体" w:eastAsia="仿宋_GB2312"/>
          <w:sz w:val="32"/>
          <w:szCs w:val="32"/>
        </w:rPr>
        <w:t>。</w:t>
      </w:r>
    </w:p>
    <w:p>
      <w:pPr>
        <w:spacing w:line="560" w:lineRule="exact"/>
        <w:ind w:firstLine="640" w:firstLineChars="200"/>
        <w:rPr>
          <w:rFonts w:ascii="仿宋_GB2312" w:hAnsi="黑体" w:eastAsia="仿宋_GB2312"/>
          <w:sz w:val="32"/>
          <w:szCs w:val="32"/>
        </w:rPr>
      </w:pPr>
    </w:p>
    <w:p>
      <w:pPr>
        <w:spacing w:line="560" w:lineRule="exact"/>
        <w:ind w:firstLine="640" w:firstLineChars="200"/>
        <w:rPr>
          <w:rFonts w:ascii="仿宋_GB2312" w:hAnsi="黑体" w:eastAsia="仿宋_GB2312"/>
          <w:sz w:val="32"/>
          <w:szCs w:val="32"/>
        </w:rPr>
      </w:pPr>
    </w:p>
    <w:p>
      <w:pPr>
        <w:spacing w:line="560" w:lineRule="exact"/>
        <w:ind w:firstLine="640" w:firstLineChars="200"/>
        <w:rPr>
          <w:rFonts w:ascii="仿宋_GB2312" w:hAnsi="黑体" w:eastAsia="仿宋_GB2312"/>
          <w:sz w:val="32"/>
          <w:szCs w:val="32"/>
        </w:rPr>
      </w:pPr>
    </w:p>
    <w:p>
      <w:pPr>
        <w:spacing w:line="560" w:lineRule="exact"/>
        <w:ind w:firstLine="640" w:firstLineChars="200"/>
        <w:rPr>
          <w:rFonts w:ascii="仿宋_GB2312" w:hAnsi="黑体" w:eastAsia="仿宋_GB2312"/>
          <w:sz w:val="32"/>
          <w:szCs w:val="32"/>
        </w:rPr>
      </w:pPr>
    </w:p>
    <w:p>
      <w:pPr>
        <w:spacing w:line="560" w:lineRule="exact"/>
        <w:jc w:val="center"/>
        <w:rPr>
          <w:rFonts w:cs="黑体" w:asciiTheme="minorEastAsia" w:hAnsiTheme="minorEastAsia" w:eastAsiaTheme="minorEastAsia"/>
          <w:sz w:val="44"/>
          <w:szCs w:val="44"/>
        </w:rPr>
      </w:pPr>
      <w:r>
        <w:rPr>
          <w:rFonts w:hint="eastAsia" w:ascii="方正小标宋简体" w:hAnsi="方正小标宋简体" w:eastAsia="方正小标宋简体" w:cs="方正小标宋简体"/>
          <w:bCs/>
          <w:color w:val="000000"/>
          <w:sz w:val="44"/>
          <w:szCs w:val="44"/>
        </w:rPr>
        <w:t>关于</w:t>
      </w:r>
      <w:r>
        <w:rPr>
          <w:rFonts w:hint="eastAsia" w:ascii="方正小标宋简体" w:hAnsi="方正小标宋简体" w:eastAsia="方正小标宋简体" w:cs="方正小标宋简体"/>
          <w:sz w:val="44"/>
          <w:szCs w:val="44"/>
        </w:rPr>
        <w:t>《龙岗区文化产业公共服务平台认定与管理办法》</w:t>
      </w:r>
      <w:r>
        <w:rPr>
          <w:rFonts w:hint="eastAsia" w:ascii="方正小标宋简体" w:hAnsi="方正小标宋简体" w:eastAsia="方正小标宋简体" w:cs="方正小标宋简体"/>
          <w:bCs/>
          <w:color w:val="000000"/>
          <w:sz w:val="44"/>
          <w:szCs w:val="44"/>
        </w:rPr>
        <w:t>的政策解读</w:t>
      </w:r>
    </w:p>
    <w:p>
      <w:pPr>
        <w:spacing w:line="560" w:lineRule="exact"/>
        <w:rPr>
          <w:rFonts w:ascii="仿宋_GB2312" w:eastAsia="仿宋_GB2312"/>
          <w:sz w:val="32"/>
          <w:szCs w:val="32"/>
        </w:rPr>
      </w:pPr>
    </w:p>
    <w:p>
      <w:pPr>
        <w:spacing w:line="560" w:lineRule="exact"/>
        <w:ind w:firstLine="630"/>
        <w:rPr>
          <w:rFonts w:ascii="仿宋_GB2312" w:hAnsi="仿宋" w:eastAsia="仿宋_GB2312"/>
          <w:color w:val="000000"/>
          <w:sz w:val="32"/>
          <w:szCs w:val="32"/>
        </w:rPr>
      </w:pPr>
      <w:r>
        <w:rPr>
          <w:rFonts w:hint="eastAsia" w:ascii="仿宋" w:hAnsi="仿宋" w:eastAsia="仿宋" w:cs="仿宋"/>
          <w:sz w:val="32"/>
          <w:szCs w:val="32"/>
        </w:rPr>
        <w:t>为进一步</w:t>
      </w:r>
      <w:r>
        <w:rPr>
          <w:rFonts w:ascii="仿宋" w:hAnsi="仿宋" w:eastAsia="仿宋" w:cs="仿宋"/>
          <w:sz w:val="32"/>
          <w:szCs w:val="32"/>
        </w:rPr>
        <w:t>推动龙岗区文化产业</w:t>
      </w:r>
      <w:r>
        <w:rPr>
          <w:rFonts w:hint="eastAsia" w:ascii="仿宋" w:hAnsi="仿宋" w:eastAsia="仿宋" w:cs="仿宋"/>
          <w:sz w:val="32"/>
          <w:szCs w:val="32"/>
        </w:rPr>
        <w:t>快速</w:t>
      </w:r>
      <w:r>
        <w:rPr>
          <w:rFonts w:ascii="仿宋" w:hAnsi="仿宋" w:eastAsia="仿宋" w:cs="仿宋"/>
          <w:sz w:val="32"/>
          <w:szCs w:val="32"/>
        </w:rPr>
        <w:t>发展，</w:t>
      </w:r>
      <w:r>
        <w:rPr>
          <w:rFonts w:hint="eastAsia" w:ascii="仿宋" w:hAnsi="仿宋" w:eastAsia="仿宋" w:cs="仿宋"/>
          <w:sz w:val="32"/>
          <w:szCs w:val="32"/>
        </w:rPr>
        <w:t>龙岗区</w:t>
      </w:r>
      <w:r>
        <w:rPr>
          <w:rFonts w:ascii="仿宋" w:hAnsi="仿宋" w:eastAsia="仿宋" w:cs="仿宋"/>
          <w:sz w:val="32"/>
          <w:szCs w:val="32"/>
        </w:rPr>
        <w:t>文化广电旅游体育局</w:t>
      </w:r>
      <w:r>
        <w:rPr>
          <w:rFonts w:hint="eastAsia" w:ascii="仿宋" w:hAnsi="仿宋" w:eastAsia="仿宋" w:cs="仿宋"/>
          <w:sz w:val="32"/>
          <w:szCs w:val="32"/>
        </w:rPr>
        <w:t>对原《龙岗区文化创意产业公共服务平台认定与管理暂行办法》进行修订并拟</w:t>
      </w:r>
      <w:r>
        <w:rPr>
          <w:rFonts w:ascii="仿宋" w:hAnsi="仿宋" w:eastAsia="仿宋" w:cs="仿宋"/>
          <w:sz w:val="32"/>
          <w:szCs w:val="32"/>
        </w:rPr>
        <w:t>出台</w:t>
      </w:r>
      <w:r>
        <w:rPr>
          <w:rFonts w:hint="eastAsia" w:ascii="仿宋" w:hAnsi="仿宋" w:eastAsia="仿宋" w:cs="仿宋"/>
          <w:sz w:val="32"/>
          <w:szCs w:val="32"/>
        </w:rPr>
        <w:t>《龙岗区文化产业公共服务平台认定与管理办法》（以下</w:t>
      </w:r>
      <w:r>
        <w:rPr>
          <w:rFonts w:ascii="仿宋" w:hAnsi="仿宋" w:eastAsia="仿宋" w:cs="仿宋"/>
          <w:sz w:val="32"/>
          <w:szCs w:val="32"/>
        </w:rPr>
        <w:t>简称《</w:t>
      </w:r>
      <w:r>
        <w:rPr>
          <w:rFonts w:hint="eastAsia" w:ascii="仿宋" w:hAnsi="仿宋" w:eastAsia="仿宋" w:cs="仿宋"/>
          <w:sz w:val="32"/>
          <w:szCs w:val="32"/>
        </w:rPr>
        <w:t>认定办法</w:t>
      </w:r>
      <w:r>
        <w:rPr>
          <w:rFonts w:ascii="仿宋" w:hAnsi="仿宋" w:eastAsia="仿宋" w:cs="仿宋"/>
          <w:sz w:val="32"/>
          <w:szCs w:val="32"/>
        </w:rPr>
        <w:t>》</w:t>
      </w:r>
      <w:r>
        <w:rPr>
          <w:rFonts w:hint="eastAsia" w:ascii="仿宋" w:hAnsi="仿宋" w:eastAsia="仿宋" w:cs="仿宋"/>
          <w:sz w:val="32"/>
          <w:szCs w:val="32"/>
        </w:rPr>
        <w:t>），</w:t>
      </w:r>
      <w:r>
        <w:rPr>
          <w:rFonts w:hint="eastAsia" w:ascii="仿宋_GB2312" w:hAnsi="仿宋" w:eastAsia="仿宋_GB2312"/>
          <w:color w:val="000000"/>
          <w:sz w:val="32"/>
          <w:szCs w:val="32"/>
        </w:rPr>
        <w:t>现将修订起草背景及主要内容解读如下：</w:t>
      </w:r>
    </w:p>
    <w:p>
      <w:pPr>
        <w:spacing w:line="560" w:lineRule="exact"/>
        <w:ind w:firstLine="630"/>
        <w:rPr>
          <w:rFonts w:hint="eastAsia" w:ascii="黑体" w:hAnsi="黑体" w:eastAsia="黑体" w:cs="黑体"/>
          <w:sz w:val="32"/>
          <w:szCs w:val="32"/>
        </w:rPr>
      </w:pPr>
      <w:r>
        <w:rPr>
          <w:rFonts w:hint="eastAsia" w:ascii="黑体" w:hAnsi="黑体" w:eastAsia="黑体" w:cs="黑体"/>
          <w:color w:val="000000"/>
          <w:sz w:val="32"/>
          <w:szCs w:val="32"/>
        </w:rPr>
        <w:t>一、</w:t>
      </w:r>
      <w:r>
        <w:rPr>
          <w:rFonts w:hint="eastAsia" w:ascii="黑体" w:hAnsi="黑体" w:eastAsia="黑体" w:cs="黑体"/>
          <w:sz w:val="32"/>
          <w:szCs w:val="32"/>
        </w:rPr>
        <w:t>《认定办法》出台的背景和依据</w:t>
      </w:r>
    </w:p>
    <w:p>
      <w:pPr>
        <w:spacing w:line="560" w:lineRule="exact"/>
        <w:ind w:firstLine="640" w:firstLineChars="200"/>
        <w:rPr>
          <w:rFonts w:ascii="仿宋" w:hAnsi="仿宋" w:eastAsia="仿宋" w:cs="仿宋"/>
          <w:sz w:val="32"/>
          <w:szCs w:val="32"/>
        </w:rPr>
      </w:pPr>
      <w:r>
        <w:rPr>
          <w:rFonts w:hint="eastAsia" w:ascii="仿宋" w:hAnsi="仿宋" w:eastAsia="仿宋" w:cs="楷体"/>
          <w:sz w:val="32"/>
          <w:szCs w:val="32"/>
        </w:rPr>
        <w:t>一是新发展阶段的新要求</w:t>
      </w:r>
      <w:r>
        <w:rPr>
          <w:rFonts w:hint="eastAsia" w:ascii="仿宋" w:hAnsi="仿宋" w:eastAsia="仿宋" w:cs="仿宋"/>
          <w:sz w:val="32"/>
          <w:szCs w:val="32"/>
        </w:rPr>
        <w:t>。随着龙岗区城区整体实力的提升，尤其是文化产业在近几年的高速发展，龙岗区文化产业已经完成了发展的初级阶段，到达了具有一定实力的新发展阶段。为了适应新发展阶段下产业发展的需求，鼓励大型文化企业、行业协会、文化产业园区和研究机构为龙岗区文化产业发展提供公共性的产业服务，促进文化产业中小企业的发展，从而推动龙岗区文化产业的整体提升，</w:t>
      </w:r>
      <w:r>
        <w:rPr>
          <w:rFonts w:hint="eastAsia" w:ascii="仿宋" w:hAnsi="仿宋" w:eastAsia="仿宋" w:cs="楷体"/>
          <w:color w:val="000000" w:themeColor="text1"/>
          <w:sz w:val="32"/>
          <w:szCs w:val="32"/>
          <w14:textFill>
            <w14:solidFill>
              <w14:schemeClr w14:val="tx1"/>
            </w14:solidFill>
          </w14:textFill>
        </w:rPr>
        <w:t>亟需对文化产业公共服务平台的建设和管理提出新的要求和标准。</w:t>
      </w:r>
    </w:p>
    <w:p>
      <w:pPr>
        <w:spacing w:line="560" w:lineRule="exact"/>
        <w:ind w:firstLine="640" w:firstLineChars="200"/>
        <w:rPr>
          <w:rFonts w:ascii="仿宋" w:hAnsi="仿宋" w:eastAsia="仿宋" w:cs="仿宋"/>
          <w:sz w:val="32"/>
          <w:szCs w:val="32"/>
        </w:rPr>
      </w:pPr>
      <w:r>
        <w:rPr>
          <w:rFonts w:hint="eastAsia" w:ascii="仿宋" w:hAnsi="仿宋" w:eastAsia="仿宋" w:cs="楷体"/>
          <w:sz w:val="32"/>
          <w:szCs w:val="32"/>
        </w:rPr>
        <w:t>二是新政策的配套措施</w:t>
      </w:r>
      <w:r>
        <w:rPr>
          <w:rFonts w:hint="eastAsia" w:ascii="仿宋" w:hAnsi="仿宋" w:eastAsia="仿宋" w:cs="仿宋"/>
          <w:sz w:val="32"/>
          <w:szCs w:val="32"/>
        </w:rPr>
        <w:t>。2020年2月10日，龙岗区出台了新的文化产业扶持政策--《深圳市龙岗区经济与科技发展专项资金支持文化产业发展实施细则》，其中对鼓励文化产业公共服务平台建设提出了扶持办法。为了贯彻落实新政策，推动文化产业公共服务平台建设，规范公共服务平台的认定和管理，需要出台相应的认定和管理办法。</w:t>
      </w:r>
    </w:p>
    <w:p>
      <w:pPr>
        <w:pStyle w:val="5"/>
        <w:shd w:val="clear" w:color="auto" w:fill="FFFFFF"/>
        <w:spacing w:before="0" w:beforeAutospacing="0" w:after="0" w:afterAutospacing="0" w:line="560" w:lineRule="exact"/>
        <w:ind w:firstLine="640" w:firstLineChars="200"/>
        <w:jc w:val="both"/>
        <w:textAlignment w:val="bottom"/>
        <w:rPr>
          <w:rFonts w:ascii="仿宋" w:hAnsi="仿宋" w:eastAsia="仿宋" w:cs="楷体"/>
          <w:kern w:val="2"/>
          <w:sz w:val="32"/>
          <w:szCs w:val="32"/>
        </w:rPr>
      </w:pPr>
      <w:r>
        <w:rPr>
          <w:rFonts w:hint="eastAsia" w:ascii="仿宋" w:hAnsi="仿宋" w:eastAsia="仿宋" w:cs="楷体"/>
          <w:color w:val="000000" w:themeColor="text1"/>
          <w:kern w:val="2"/>
          <w:sz w:val="32"/>
          <w:szCs w:val="32"/>
          <w14:textFill>
            <w14:solidFill>
              <w14:schemeClr w14:val="tx1"/>
            </w14:solidFill>
          </w14:textFill>
        </w:rPr>
        <w:t>三是完善执行过程中发现的不足。现有的文化产业公共服务平台的认定和管理办法在执行过程中逐渐发现了一些新问题，亟需进行修改完善。主要包括认定标准不够完善、考核和撤销认定条件和程序的部分调整、文化产业领域的认定范围和标准等。</w:t>
      </w:r>
    </w:p>
    <w:p>
      <w:pPr>
        <w:pStyle w:val="5"/>
        <w:shd w:val="clear" w:color="auto" w:fill="FFFFFF"/>
        <w:spacing w:before="0" w:beforeAutospacing="0" w:after="0" w:afterAutospacing="0" w:line="560" w:lineRule="exact"/>
        <w:ind w:firstLine="640" w:firstLineChars="200"/>
        <w:jc w:val="both"/>
        <w:textAlignment w:val="bottom"/>
        <w:rPr>
          <w:rFonts w:hint="eastAsia" w:ascii="黑体" w:hAnsi="黑体" w:eastAsia="黑体" w:cs="黑体"/>
          <w:sz w:val="32"/>
          <w:szCs w:val="32"/>
        </w:rPr>
      </w:pPr>
      <w:r>
        <w:rPr>
          <w:rFonts w:hint="eastAsia" w:ascii="黑体" w:hAnsi="黑体" w:eastAsia="黑体" w:cs="黑体"/>
          <w:color w:val="000000"/>
          <w:sz w:val="32"/>
          <w:szCs w:val="32"/>
          <w:lang w:val="zh-CN"/>
        </w:rPr>
        <w:t>二、</w:t>
      </w:r>
      <w:r>
        <w:rPr>
          <w:rFonts w:hint="eastAsia" w:ascii="黑体" w:hAnsi="黑体" w:eastAsia="黑体" w:cs="黑体"/>
          <w:sz w:val="32"/>
          <w:szCs w:val="32"/>
        </w:rPr>
        <w:t>出台《认定办法》的目标任务</w:t>
      </w:r>
    </w:p>
    <w:p>
      <w:pPr>
        <w:spacing w:line="560" w:lineRule="exact"/>
        <w:ind w:firstLine="320" w:firstLineChars="100"/>
        <w:rPr>
          <w:rFonts w:ascii="仿宋_GB2312" w:eastAsia="仿宋_GB2312"/>
          <w:sz w:val="32"/>
          <w:szCs w:val="32"/>
        </w:rPr>
      </w:pPr>
      <w:r>
        <w:rPr>
          <w:rFonts w:hint="eastAsia" w:ascii="仿宋_GB2312" w:eastAsia="仿宋_GB2312"/>
          <w:sz w:val="32"/>
          <w:szCs w:val="32"/>
        </w:rPr>
        <w:t>《认定办法》明确了龙岗区</w:t>
      </w:r>
      <w:r>
        <w:rPr>
          <w:rFonts w:ascii="仿宋_GB2312" w:eastAsia="仿宋_GB2312"/>
          <w:sz w:val="32"/>
          <w:szCs w:val="32"/>
        </w:rPr>
        <w:t>文化</w:t>
      </w:r>
      <w:r>
        <w:rPr>
          <w:rFonts w:hint="eastAsia" w:ascii="仿宋_GB2312" w:eastAsia="仿宋_GB2312"/>
          <w:sz w:val="32"/>
          <w:szCs w:val="32"/>
        </w:rPr>
        <w:t>产业公共服务平台的发展</w:t>
      </w:r>
      <w:r>
        <w:rPr>
          <w:rFonts w:ascii="仿宋_GB2312" w:eastAsia="仿宋_GB2312"/>
          <w:sz w:val="32"/>
          <w:szCs w:val="32"/>
        </w:rPr>
        <w:t>方向，对申报</w:t>
      </w:r>
      <w:r>
        <w:rPr>
          <w:rFonts w:hint="eastAsia" w:ascii="仿宋_GB2312" w:eastAsia="仿宋_GB2312"/>
          <w:sz w:val="32"/>
          <w:szCs w:val="32"/>
        </w:rPr>
        <w:t>认定文化产业公共服务平台条件、程序和标准进行</w:t>
      </w:r>
      <w:r>
        <w:rPr>
          <w:rFonts w:ascii="仿宋_GB2312" w:eastAsia="仿宋_GB2312"/>
          <w:sz w:val="32"/>
          <w:szCs w:val="32"/>
        </w:rPr>
        <w:t>了具体的规定</w:t>
      </w:r>
      <w:r>
        <w:rPr>
          <w:rFonts w:hint="eastAsia" w:ascii="仿宋_GB2312" w:eastAsia="仿宋_GB2312"/>
          <w:sz w:val="32"/>
          <w:szCs w:val="32"/>
        </w:rPr>
        <w:t>，有利于区内大型文化企业、</w:t>
      </w:r>
      <w:r>
        <w:rPr>
          <w:rFonts w:hint="eastAsia" w:ascii="仿宋" w:hAnsi="仿宋" w:eastAsia="仿宋" w:cs="仿宋"/>
          <w:sz w:val="32"/>
          <w:szCs w:val="32"/>
        </w:rPr>
        <w:t>行业协会、文化产业园区和研究机构等</w:t>
      </w:r>
      <w:r>
        <w:rPr>
          <w:rFonts w:hint="eastAsia" w:ascii="仿宋_GB2312" w:eastAsia="仿宋_GB2312"/>
          <w:sz w:val="32"/>
          <w:szCs w:val="32"/>
        </w:rPr>
        <w:t>对标有关条件，更加有效合理的规划建设文化产业公共服务平台，建设并运营更加符合龙岗文化产业需求的公共服务平台项目，推动龙岗区文化产业的整体高速发展。</w:t>
      </w:r>
    </w:p>
    <w:p>
      <w:pPr>
        <w:spacing w:line="560" w:lineRule="exact"/>
        <w:ind w:firstLine="630"/>
        <w:rPr>
          <w:rFonts w:hint="eastAsia" w:ascii="黑体" w:hAnsi="黑体" w:eastAsia="黑体" w:cs="黑体"/>
          <w:sz w:val="32"/>
          <w:szCs w:val="32"/>
        </w:rPr>
      </w:pPr>
      <w:r>
        <w:rPr>
          <w:rFonts w:hint="eastAsia" w:ascii="黑体" w:hAnsi="黑体" w:eastAsia="黑体" w:cs="黑体"/>
          <w:sz w:val="32"/>
          <w:szCs w:val="32"/>
        </w:rPr>
        <w:t>三、认定标准</w:t>
      </w:r>
    </w:p>
    <w:p>
      <w:pPr>
        <w:spacing w:line="580" w:lineRule="exact"/>
        <w:ind w:firstLine="640"/>
        <w:rPr>
          <w:rFonts w:ascii="仿宋" w:hAnsi="仿宋" w:eastAsia="仿宋" w:cs="仿宋"/>
          <w:sz w:val="32"/>
          <w:szCs w:val="32"/>
        </w:rPr>
      </w:pPr>
      <w:r>
        <w:rPr>
          <w:rFonts w:hint="eastAsia" w:ascii="仿宋" w:hAnsi="仿宋" w:eastAsia="仿宋" w:cs="仿宋"/>
          <w:sz w:val="32"/>
          <w:szCs w:val="32"/>
        </w:rPr>
        <w:t>（一）有明确的服务对象,服务对象以龙岗区文化企业为主。</w:t>
      </w:r>
    </w:p>
    <w:p>
      <w:pPr>
        <w:spacing w:line="580" w:lineRule="exact"/>
        <w:ind w:firstLine="640"/>
        <w:rPr>
          <w:rFonts w:ascii="仿宋" w:hAnsi="仿宋" w:eastAsia="仿宋" w:cs="仿宋"/>
          <w:sz w:val="32"/>
          <w:szCs w:val="32"/>
        </w:rPr>
      </w:pPr>
      <w:r>
        <w:rPr>
          <w:rFonts w:hint="eastAsia" w:ascii="仿宋" w:hAnsi="仿宋" w:eastAsia="仿宋" w:cs="仿宋"/>
          <w:sz w:val="32"/>
          <w:szCs w:val="32"/>
        </w:rPr>
        <w:t>（二）有显著的公共性，平台运营满一年（以服务第一家企业时间为准），已服务文化企业（平台运营商的关联企业除外）不少于30家,对外服务业务应成为平台运营的主要业务来源。</w:t>
      </w:r>
    </w:p>
    <w:p>
      <w:pPr>
        <w:spacing w:line="580" w:lineRule="exact"/>
        <w:ind w:firstLine="640"/>
        <w:rPr>
          <w:rFonts w:ascii="仿宋" w:hAnsi="仿宋" w:eastAsia="仿宋" w:cs="仿宋"/>
          <w:sz w:val="32"/>
          <w:szCs w:val="32"/>
        </w:rPr>
      </w:pPr>
      <w:r>
        <w:rPr>
          <w:rFonts w:hint="eastAsia" w:ascii="仿宋" w:hAnsi="仿宋" w:eastAsia="仿宋" w:cs="仿宋"/>
          <w:sz w:val="32"/>
          <w:szCs w:val="32"/>
        </w:rPr>
        <w:t>（三）有专业的运营管理机构和不少于5名专职工作人员，有科学合理的运营机制和规范管理制度。</w:t>
      </w:r>
    </w:p>
    <w:p>
      <w:pPr>
        <w:spacing w:line="580" w:lineRule="exact"/>
        <w:ind w:firstLine="640"/>
        <w:rPr>
          <w:rFonts w:ascii="仿宋" w:hAnsi="仿宋" w:eastAsia="仿宋" w:cs="仿宋"/>
          <w:sz w:val="32"/>
          <w:szCs w:val="32"/>
        </w:rPr>
      </w:pPr>
      <w:r>
        <w:rPr>
          <w:rFonts w:hint="eastAsia" w:ascii="仿宋" w:hAnsi="仿宋" w:eastAsia="仿宋" w:cs="仿宋"/>
          <w:sz w:val="32"/>
          <w:szCs w:val="32"/>
        </w:rPr>
        <w:t>（四）有固定的独立经营场地，对外服务使用面积不少于400平方米。</w:t>
      </w:r>
    </w:p>
    <w:p>
      <w:pPr>
        <w:spacing w:line="580" w:lineRule="exact"/>
        <w:ind w:firstLine="640"/>
        <w:rPr>
          <w:rFonts w:ascii="仿宋" w:hAnsi="仿宋" w:eastAsia="仿宋" w:cs="仿宋"/>
          <w:sz w:val="32"/>
          <w:szCs w:val="32"/>
        </w:rPr>
      </w:pPr>
      <w:r>
        <w:rPr>
          <w:rFonts w:hint="eastAsia" w:ascii="仿宋" w:hAnsi="仿宋" w:eastAsia="仿宋" w:cs="仿宋"/>
          <w:sz w:val="32"/>
          <w:szCs w:val="32"/>
        </w:rPr>
        <w:t>（五）平台需已完成建设并正式投入运营，实际已完成建设总投资不少于300万元，专业设备等固定资产投入占比不少于60%（不含物业购置和土建费用）。</w:t>
      </w:r>
    </w:p>
    <w:p>
      <w:pPr>
        <w:spacing w:line="580" w:lineRule="exact"/>
        <w:ind w:firstLine="640"/>
        <w:rPr>
          <w:rFonts w:ascii="仿宋" w:hAnsi="仿宋" w:eastAsia="仿宋" w:cs="仿宋"/>
          <w:sz w:val="32"/>
          <w:szCs w:val="32"/>
        </w:rPr>
      </w:pPr>
      <w:r>
        <w:rPr>
          <w:rFonts w:hint="eastAsia" w:ascii="仿宋" w:hAnsi="仿宋" w:eastAsia="仿宋" w:cs="仿宋"/>
          <w:sz w:val="32"/>
          <w:szCs w:val="32"/>
        </w:rPr>
        <w:t>（六）发展思路清晰，中远期发展目标明确，已制定相应的实施计划，对服务企业的自主创新和市场开拓有明显的推动作用。</w:t>
      </w:r>
    </w:p>
    <w:p>
      <w:pPr>
        <w:spacing w:line="580" w:lineRule="exact"/>
        <w:ind w:firstLine="640"/>
        <w:rPr>
          <w:rFonts w:ascii="仿宋" w:hAnsi="仿宋" w:eastAsia="仿宋" w:cs="仿宋"/>
          <w:sz w:val="32"/>
          <w:szCs w:val="32"/>
        </w:rPr>
      </w:pPr>
      <w:r>
        <w:rPr>
          <w:rFonts w:hint="eastAsia" w:ascii="仿宋" w:hAnsi="仿宋" w:eastAsia="仿宋" w:cs="仿宋"/>
          <w:sz w:val="32"/>
          <w:szCs w:val="32"/>
        </w:rPr>
        <w:t>（七）主要服务行业类别符合市、区的产业发展方向，对龙岗区文化产业有较强的促进作用。</w:t>
      </w:r>
    </w:p>
    <w:p>
      <w:pPr>
        <w:spacing w:line="580" w:lineRule="exact"/>
        <w:ind w:firstLine="640"/>
        <w:rPr>
          <w:rFonts w:ascii="仿宋" w:hAnsi="仿宋" w:eastAsia="仿宋" w:cs="仿宋"/>
          <w:sz w:val="32"/>
          <w:szCs w:val="32"/>
        </w:rPr>
      </w:pPr>
      <w:r>
        <w:rPr>
          <w:rFonts w:hint="eastAsia" w:ascii="仿宋" w:hAnsi="仿宋" w:eastAsia="仿宋" w:cs="仿宋"/>
          <w:sz w:val="32"/>
          <w:szCs w:val="32"/>
        </w:rPr>
        <w:t>（八）平台建设或运营单位需是注册地和纳税地均在龙岗区且具有独立法人资格的文化企业（协会）或高等院校。</w:t>
      </w:r>
    </w:p>
    <w:p>
      <w:pPr>
        <w:widowControl/>
        <w:shd w:val="clear" w:color="auto" w:fill="FFFFFF"/>
        <w:spacing w:line="560" w:lineRule="atLeast"/>
        <w:ind w:firstLine="640" w:firstLineChars="200"/>
        <w:rPr>
          <w:rFonts w:ascii="仿宋" w:hAnsi="仿宋" w:eastAsia="仿宋" w:cs="Arial"/>
          <w:color w:val="000000"/>
          <w:kern w:val="0"/>
          <w:sz w:val="32"/>
          <w:szCs w:val="32"/>
        </w:rPr>
      </w:pPr>
      <w:r>
        <w:rPr>
          <w:rFonts w:hint="eastAsia" w:ascii="仿宋" w:hAnsi="仿宋" w:eastAsia="仿宋" w:cs="Arial"/>
          <w:color w:val="000000"/>
          <w:kern w:val="0"/>
          <w:sz w:val="32"/>
          <w:szCs w:val="32"/>
        </w:rPr>
        <w:t>（九）</w:t>
      </w:r>
      <w:r>
        <w:rPr>
          <w:rFonts w:ascii="仿宋" w:hAnsi="仿宋" w:eastAsia="仿宋" w:cs="Arial"/>
          <w:color w:val="000000"/>
          <w:kern w:val="0"/>
          <w:sz w:val="32"/>
          <w:szCs w:val="32"/>
        </w:rPr>
        <w:t>经国家</w:t>
      </w:r>
      <w:r>
        <w:rPr>
          <w:rFonts w:hint="eastAsia" w:ascii="仿宋" w:hAnsi="仿宋" w:eastAsia="仿宋" w:cs="Arial"/>
          <w:color w:val="000000"/>
          <w:kern w:val="0"/>
          <w:sz w:val="32"/>
          <w:szCs w:val="32"/>
        </w:rPr>
        <w:t>、省、市</w:t>
      </w:r>
      <w:r>
        <w:rPr>
          <w:rFonts w:ascii="仿宋" w:hAnsi="仿宋" w:eastAsia="仿宋" w:cs="Arial"/>
          <w:color w:val="000000"/>
          <w:kern w:val="0"/>
          <w:sz w:val="32"/>
          <w:szCs w:val="32"/>
        </w:rPr>
        <w:t>有关部</w:t>
      </w:r>
      <w:r>
        <w:rPr>
          <w:rFonts w:hint="eastAsia" w:ascii="仿宋" w:hAnsi="仿宋" w:eastAsia="仿宋" w:cs="Arial"/>
          <w:color w:val="000000"/>
          <w:kern w:val="0"/>
          <w:sz w:val="32"/>
          <w:szCs w:val="32"/>
        </w:rPr>
        <w:t>门</w:t>
      </w:r>
      <w:r>
        <w:rPr>
          <w:rFonts w:ascii="仿宋" w:hAnsi="仿宋" w:eastAsia="仿宋" w:cs="Arial"/>
          <w:color w:val="000000"/>
          <w:kern w:val="0"/>
          <w:sz w:val="32"/>
          <w:szCs w:val="32"/>
        </w:rPr>
        <w:t>认定的文化产业</w:t>
      </w:r>
      <w:r>
        <w:rPr>
          <w:rFonts w:hint="eastAsia" w:ascii="仿宋" w:hAnsi="仿宋" w:eastAsia="仿宋" w:cs="Arial"/>
          <w:color w:val="000000"/>
          <w:kern w:val="0"/>
          <w:sz w:val="32"/>
          <w:szCs w:val="32"/>
        </w:rPr>
        <w:t>公共服务平台，备案后可直接认定为龙岗区文化产业公共服务平台。</w:t>
      </w:r>
    </w:p>
    <w:p>
      <w:pPr>
        <w:spacing w:line="560" w:lineRule="exact"/>
        <w:ind w:firstLine="604" w:firstLineChars="189"/>
        <w:rPr>
          <w:rFonts w:hint="eastAsia" w:ascii="黑体" w:hAnsi="黑体" w:eastAsia="黑体" w:cs="黑体"/>
          <w:sz w:val="32"/>
          <w:szCs w:val="32"/>
        </w:rPr>
      </w:pPr>
      <w:r>
        <w:rPr>
          <w:rFonts w:hint="eastAsia" w:ascii="黑体" w:hAnsi="黑体" w:eastAsia="黑体" w:cs="黑体"/>
          <w:color w:val="000000"/>
          <w:sz w:val="32"/>
          <w:szCs w:val="32"/>
        </w:rPr>
        <w:t>四、</w:t>
      </w:r>
      <w:r>
        <w:rPr>
          <w:rFonts w:hint="eastAsia" w:ascii="黑体" w:hAnsi="黑体" w:eastAsia="黑体" w:cs="黑体"/>
          <w:sz w:val="32"/>
          <w:szCs w:val="32"/>
        </w:rPr>
        <w:t>认定的申请程序</w:t>
      </w:r>
    </w:p>
    <w:p>
      <w:pPr>
        <w:spacing w:line="580" w:lineRule="exact"/>
        <w:ind w:firstLine="640"/>
        <w:rPr>
          <w:rFonts w:ascii="仿宋" w:hAnsi="仿宋" w:eastAsia="仿宋" w:cs="仿宋"/>
          <w:sz w:val="32"/>
          <w:szCs w:val="32"/>
        </w:rPr>
      </w:pPr>
      <w:r>
        <w:rPr>
          <w:rFonts w:hint="eastAsia" w:ascii="仿宋_GB2312" w:eastAsia="仿宋_GB2312"/>
          <w:sz w:val="32"/>
          <w:szCs w:val="32"/>
        </w:rPr>
        <w:t>《认定办法》规范了申请程序，</w:t>
      </w:r>
      <w:r>
        <w:rPr>
          <w:rFonts w:ascii="仿宋_GB2312" w:eastAsia="仿宋_GB2312"/>
          <w:sz w:val="32"/>
          <w:szCs w:val="32"/>
        </w:rPr>
        <w:t>具体的</w:t>
      </w:r>
      <w:r>
        <w:rPr>
          <w:rFonts w:hint="eastAsia" w:ascii="仿宋" w:hAnsi="仿宋" w:eastAsia="仿宋" w:cs="仿宋"/>
          <w:sz w:val="32"/>
          <w:szCs w:val="32"/>
        </w:rPr>
        <w:t>申报、受理和审议流程</w:t>
      </w:r>
      <w:r>
        <w:rPr>
          <w:rFonts w:ascii="仿宋" w:hAnsi="仿宋" w:eastAsia="仿宋" w:cs="仿宋"/>
          <w:sz w:val="32"/>
          <w:szCs w:val="32"/>
        </w:rPr>
        <w:t>如下：</w:t>
      </w:r>
    </w:p>
    <w:p>
      <w:pPr>
        <w:spacing w:line="580" w:lineRule="exact"/>
        <w:ind w:firstLine="640"/>
        <w:rPr>
          <w:rFonts w:ascii="仿宋" w:hAnsi="仿宋" w:eastAsia="仿宋" w:cs="仿宋"/>
          <w:bCs/>
          <w:sz w:val="32"/>
          <w:szCs w:val="32"/>
        </w:rPr>
      </w:pPr>
      <w:r>
        <w:rPr>
          <w:rFonts w:hint="eastAsia" w:ascii="仿宋" w:hAnsi="仿宋" w:eastAsia="仿宋" w:cs="仿宋"/>
          <w:sz w:val="32"/>
          <w:szCs w:val="32"/>
        </w:rPr>
        <w:t>（一）</w:t>
      </w:r>
      <w:r>
        <w:rPr>
          <w:rFonts w:hint="eastAsia" w:ascii="仿宋" w:hAnsi="仿宋" w:eastAsia="仿宋" w:cs="仿宋"/>
          <w:bCs/>
          <w:sz w:val="32"/>
          <w:szCs w:val="32"/>
        </w:rPr>
        <w:t>采取“常年受理、分批评审”的方式进行处理。</w:t>
      </w:r>
    </w:p>
    <w:p>
      <w:pPr>
        <w:widowControl/>
        <w:shd w:val="clear" w:color="auto" w:fill="FFFFFF"/>
        <w:spacing w:line="560" w:lineRule="atLeast"/>
        <w:ind w:firstLine="640" w:firstLineChars="200"/>
        <w:rPr>
          <w:rFonts w:ascii="仿宋" w:hAnsi="仿宋" w:eastAsia="仿宋" w:cs="Arial"/>
          <w:color w:val="000000"/>
          <w:kern w:val="0"/>
          <w:sz w:val="32"/>
          <w:szCs w:val="32"/>
        </w:rPr>
      </w:pPr>
      <w:r>
        <w:rPr>
          <w:rFonts w:hint="eastAsia" w:ascii="仿宋" w:hAnsi="仿宋" w:eastAsia="仿宋" w:cs="Arial"/>
          <w:color w:val="000000"/>
          <w:kern w:val="0"/>
          <w:sz w:val="32"/>
          <w:szCs w:val="32"/>
        </w:rPr>
        <w:t>（二）</w:t>
      </w:r>
      <w:r>
        <w:rPr>
          <w:rFonts w:ascii="仿宋" w:hAnsi="仿宋" w:eastAsia="仿宋" w:cs="Arial"/>
          <w:color w:val="000000"/>
          <w:kern w:val="0"/>
          <w:sz w:val="32"/>
          <w:szCs w:val="32"/>
        </w:rPr>
        <w:t>区</w:t>
      </w:r>
      <w:r>
        <w:rPr>
          <w:rFonts w:hint="eastAsia" w:ascii="仿宋" w:hAnsi="仿宋" w:eastAsia="仿宋" w:cs="Arial"/>
          <w:color w:val="000000"/>
          <w:kern w:val="0"/>
          <w:sz w:val="32"/>
          <w:szCs w:val="32"/>
        </w:rPr>
        <w:t>文化产业促进中心</w:t>
      </w:r>
      <w:r>
        <w:rPr>
          <w:rFonts w:ascii="仿宋" w:hAnsi="仿宋" w:eastAsia="仿宋" w:cs="Arial"/>
          <w:color w:val="000000"/>
          <w:kern w:val="0"/>
          <w:sz w:val="32"/>
          <w:szCs w:val="32"/>
        </w:rPr>
        <w:t>自收文日起5个工作日内对申请材料进行形式审查，合格的，发给受理回执；不合格的，</w:t>
      </w:r>
      <w:r>
        <w:rPr>
          <w:rFonts w:hint="eastAsia" w:ascii="仿宋" w:hAnsi="仿宋" w:eastAsia="仿宋" w:cs="Arial"/>
          <w:color w:val="000000"/>
          <w:kern w:val="0"/>
          <w:sz w:val="32"/>
          <w:szCs w:val="32"/>
        </w:rPr>
        <w:t>需</w:t>
      </w:r>
      <w:r>
        <w:rPr>
          <w:rFonts w:ascii="仿宋" w:hAnsi="仿宋" w:eastAsia="仿宋" w:cs="Arial"/>
          <w:color w:val="000000"/>
          <w:kern w:val="0"/>
          <w:sz w:val="32"/>
          <w:szCs w:val="32"/>
        </w:rPr>
        <w:t>告知</w:t>
      </w:r>
      <w:r>
        <w:rPr>
          <w:rFonts w:hint="eastAsia" w:ascii="仿宋" w:hAnsi="仿宋" w:eastAsia="仿宋" w:cs="Arial"/>
          <w:color w:val="000000"/>
          <w:kern w:val="0"/>
          <w:sz w:val="32"/>
          <w:szCs w:val="32"/>
        </w:rPr>
        <w:t>理由</w:t>
      </w:r>
      <w:r>
        <w:rPr>
          <w:rFonts w:ascii="仿宋" w:hAnsi="仿宋" w:eastAsia="仿宋" w:cs="Arial"/>
          <w:color w:val="000000"/>
          <w:kern w:val="0"/>
          <w:sz w:val="32"/>
          <w:szCs w:val="32"/>
        </w:rPr>
        <w:t>，并将申请材料退回。</w:t>
      </w:r>
      <w:r>
        <w:rPr>
          <w:rFonts w:hint="eastAsia" w:ascii="仿宋" w:hAnsi="仿宋" w:eastAsia="仿宋" w:cs="Arial"/>
          <w:color w:val="000000"/>
          <w:kern w:val="0"/>
          <w:sz w:val="32"/>
          <w:szCs w:val="32"/>
        </w:rPr>
        <w:t>申请单位</w:t>
      </w:r>
      <w:r>
        <w:rPr>
          <w:rFonts w:ascii="仿宋" w:hAnsi="仿宋" w:eastAsia="仿宋" w:cs="Arial"/>
          <w:color w:val="000000"/>
          <w:kern w:val="0"/>
          <w:sz w:val="32"/>
          <w:szCs w:val="32"/>
        </w:rPr>
        <w:t>完善材料后，可重新申请</w:t>
      </w:r>
      <w:r>
        <w:rPr>
          <w:rFonts w:hint="eastAsia" w:ascii="仿宋" w:hAnsi="仿宋" w:eastAsia="仿宋" w:cs="Arial"/>
          <w:color w:val="000000"/>
          <w:kern w:val="0"/>
          <w:sz w:val="32"/>
          <w:szCs w:val="32"/>
        </w:rPr>
        <w:t>；</w:t>
      </w:r>
    </w:p>
    <w:p>
      <w:pPr>
        <w:widowControl/>
        <w:shd w:val="clear" w:color="auto" w:fill="FFFFFF"/>
        <w:spacing w:line="560" w:lineRule="atLeast"/>
        <w:ind w:firstLine="640" w:firstLineChars="200"/>
        <w:rPr>
          <w:rFonts w:ascii="仿宋" w:hAnsi="仿宋" w:eastAsia="仿宋" w:cs="Arial"/>
          <w:color w:val="000000"/>
          <w:kern w:val="0"/>
          <w:sz w:val="32"/>
          <w:szCs w:val="32"/>
        </w:rPr>
      </w:pPr>
      <w:r>
        <w:rPr>
          <w:rFonts w:hint="eastAsia" w:ascii="仿宋" w:hAnsi="仿宋" w:eastAsia="仿宋" w:cs="Arial"/>
          <w:color w:val="000000"/>
          <w:kern w:val="0"/>
          <w:sz w:val="32"/>
          <w:szCs w:val="32"/>
        </w:rPr>
        <w:t>（三）</w:t>
      </w:r>
      <w:r>
        <w:rPr>
          <w:rFonts w:ascii="仿宋" w:hAnsi="仿宋" w:eastAsia="仿宋" w:cs="Arial"/>
          <w:color w:val="000000"/>
          <w:kern w:val="0"/>
          <w:sz w:val="32"/>
          <w:szCs w:val="32"/>
        </w:rPr>
        <w:t>区</w:t>
      </w:r>
      <w:r>
        <w:rPr>
          <w:rFonts w:hint="eastAsia" w:ascii="仿宋" w:hAnsi="仿宋" w:eastAsia="仿宋" w:cs="Arial"/>
          <w:color w:val="000000"/>
          <w:kern w:val="0"/>
          <w:sz w:val="32"/>
          <w:szCs w:val="32"/>
        </w:rPr>
        <w:t>文化产业促进中心</w:t>
      </w:r>
      <w:r>
        <w:rPr>
          <w:rFonts w:ascii="仿宋" w:hAnsi="仿宋" w:eastAsia="仿宋" w:cs="Arial"/>
          <w:color w:val="000000"/>
          <w:kern w:val="0"/>
          <w:sz w:val="32"/>
          <w:szCs w:val="32"/>
        </w:rPr>
        <w:t>组织有关专家根据认定条件对申报</w:t>
      </w:r>
      <w:r>
        <w:rPr>
          <w:rFonts w:hint="eastAsia" w:ascii="仿宋" w:hAnsi="仿宋" w:eastAsia="仿宋" w:cs="Arial"/>
          <w:color w:val="000000"/>
          <w:kern w:val="0"/>
          <w:sz w:val="32"/>
          <w:szCs w:val="32"/>
        </w:rPr>
        <w:t>的公共服务平台</w:t>
      </w:r>
      <w:r>
        <w:rPr>
          <w:rFonts w:ascii="仿宋" w:hAnsi="仿宋" w:eastAsia="仿宋" w:cs="Arial"/>
          <w:color w:val="000000"/>
          <w:kern w:val="0"/>
          <w:sz w:val="32"/>
          <w:szCs w:val="32"/>
        </w:rPr>
        <w:t>进行实地考察</w:t>
      </w:r>
      <w:r>
        <w:rPr>
          <w:rFonts w:hint="eastAsia" w:ascii="仿宋" w:hAnsi="仿宋" w:eastAsia="仿宋" w:cs="Arial"/>
          <w:color w:val="000000"/>
          <w:kern w:val="0"/>
          <w:sz w:val="32"/>
          <w:szCs w:val="32"/>
        </w:rPr>
        <w:t>评审</w:t>
      </w:r>
      <w:r>
        <w:rPr>
          <w:rFonts w:ascii="仿宋" w:hAnsi="仿宋" w:eastAsia="仿宋" w:cs="Arial"/>
          <w:color w:val="000000"/>
          <w:kern w:val="0"/>
          <w:sz w:val="32"/>
          <w:szCs w:val="32"/>
        </w:rPr>
        <w:t>，形成评审意见</w:t>
      </w:r>
      <w:r>
        <w:rPr>
          <w:rFonts w:hint="eastAsia" w:ascii="仿宋" w:hAnsi="仿宋" w:eastAsia="仿宋" w:cs="Arial"/>
          <w:color w:val="000000"/>
          <w:kern w:val="0"/>
          <w:sz w:val="32"/>
          <w:szCs w:val="32"/>
        </w:rPr>
        <w:t>；</w:t>
      </w:r>
    </w:p>
    <w:p>
      <w:pPr>
        <w:spacing w:line="580" w:lineRule="exact"/>
        <w:ind w:firstLine="640"/>
        <w:rPr>
          <w:rFonts w:ascii="仿宋_GB2312" w:eastAsia="仿宋_GB2312"/>
          <w:sz w:val="32"/>
          <w:szCs w:val="32"/>
        </w:rPr>
      </w:pPr>
      <w:r>
        <w:rPr>
          <w:rFonts w:hint="eastAsia" w:ascii="仿宋" w:hAnsi="仿宋" w:eastAsia="仿宋" w:cs="Arial"/>
          <w:color w:val="000000"/>
          <w:kern w:val="0"/>
          <w:sz w:val="32"/>
          <w:szCs w:val="32"/>
        </w:rPr>
        <w:t>（四）</w:t>
      </w:r>
      <w:r>
        <w:rPr>
          <w:rFonts w:ascii="仿宋" w:hAnsi="仿宋" w:eastAsia="仿宋" w:cs="Arial"/>
          <w:color w:val="000000"/>
          <w:kern w:val="0"/>
          <w:sz w:val="32"/>
          <w:szCs w:val="32"/>
        </w:rPr>
        <w:t>根据</w:t>
      </w:r>
      <w:r>
        <w:rPr>
          <w:rFonts w:hint="eastAsia" w:ascii="仿宋" w:hAnsi="仿宋" w:eastAsia="仿宋" w:cs="Arial"/>
          <w:color w:val="000000"/>
          <w:kern w:val="0"/>
          <w:sz w:val="32"/>
          <w:szCs w:val="32"/>
        </w:rPr>
        <w:t>专家</w:t>
      </w:r>
      <w:r>
        <w:rPr>
          <w:rFonts w:ascii="仿宋" w:hAnsi="仿宋" w:eastAsia="仿宋" w:cs="Arial"/>
          <w:color w:val="000000"/>
          <w:kern w:val="0"/>
          <w:sz w:val="32"/>
          <w:szCs w:val="32"/>
        </w:rPr>
        <w:t>实地考察评审意见，区</w:t>
      </w:r>
      <w:r>
        <w:rPr>
          <w:rFonts w:hint="eastAsia" w:ascii="仿宋" w:hAnsi="仿宋" w:eastAsia="仿宋" w:cs="Arial"/>
          <w:color w:val="000000"/>
          <w:kern w:val="0"/>
          <w:sz w:val="32"/>
          <w:szCs w:val="32"/>
        </w:rPr>
        <w:t>文化产业促进中心</w:t>
      </w:r>
      <w:r>
        <w:rPr>
          <w:rFonts w:ascii="仿宋" w:hAnsi="仿宋" w:eastAsia="仿宋" w:cs="Arial"/>
          <w:color w:val="000000"/>
          <w:kern w:val="0"/>
          <w:sz w:val="32"/>
          <w:szCs w:val="32"/>
        </w:rPr>
        <w:t>召开</w:t>
      </w:r>
      <w:r>
        <w:rPr>
          <w:rFonts w:hint="eastAsia" w:ascii="仿宋" w:hAnsi="仿宋" w:eastAsia="仿宋" w:cs="Arial"/>
          <w:color w:val="000000"/>
          <w:kern w:val="0"/>
          <w:sz w:val="32"/>
          <w:szCs w:val="32"/>
        </w:rPr>
        <w:t>主任</w:t>
      </w:r>
      <w:r>
        <w:rPr>
          <w:rFonts w:ascii="仿宋" w:hAnsi="仿宋" w:eastAsia="仿宋" w:cs="Arial"/>
          <w:color w:val="000000"/>
          <w:kern w:val="0"/>
          <w:sz w:val="32"/>
          <w:szCs w:val="32"/>
        </w:rPr>
        <w:t>办公会议研究，确定“龙岗区文化产业</w:t>
      </w:r>
      <w:r>
        <w:rPr>
          <w:rFonts w:hint="eastAsia" w:ascii="仿宋" w:hAnsi="仿宋" w:eastAsia="仿宋" w:cs="Arial"/>
          <w:color w:val="000000"/>
          <w:kern w:val="0"/>
          <w:sz w:val="32"/>
          <w:szCs w:val="32"/>
        </w:rPr>
        <w:t>公共服务平台</w:t>
      </w:r>
      <w:r>
        <w:rPr>
          <w:rFonts w:ascii="仿宋" w:hAnsi="仿宋" w:eastAsia="仿宋" w:cs="Arial"/>
          <w:color w:val="000000"/>
          <w:kern w:val="0"/>
          <w:sz w:val="32"/>
          <w:szCs w:val="32"/>
        </w:rPr>
        <w:t>”</w:t>
      </w:r>
      <w:r>
        <w:rPr>
          <w:rFonts w:hint="eastAsia" w:ascii="仿宋" w:hAnsi="仿宋" w:eastAsia="仿宋" w:cs="Arial"/>
          <w:color w:val="000000"/>
          <w:kern w:val="0"/>
          <w:sz w:val="32"/>
          <w:szCs w:val="32"/>
        </w:rPr>
        <w:t>入</w:t>
      </w:r>
      <w:r>
        <w:rPr>
          <w:rFonts w:ascii="仿宋" w:hAnsi="仿宋" w:eastAsia="仿宋" w:cs="Arial"/>
          <w:color w:val="000000"/>
          <w:kern w:val="0"/>
          <w:sz w:val="32"/>
          <w:szCs w:val="32"/>
        </w:rPr>
        <w:t>选名单</w:t>
      </w:r>
      <w:r>
        <w:rPr>
          <w:rFonts w:hint="eastAsia" w:ascii="仿宋" w:hAnsi="仿宋" w:eastAsia="仿宋" w:cs="Arial"/>
          <w:color w:val="000000"/>
          <w:kern w:val="0"/>
          <w:sz w:val="32"/>
          <w:szCs w:val="32"/>
        </w:rPr>
        <w:t>后报龙岗区文化广电旅游体育局党组会研究审定。通过审定的名单</w:t>
      </w:r>
      <w:r>
        <w:rPr>
          <w:rFonts w:ascii="仿宋" w:hAnsi="仿宋" w:eastAsia="仿宋" w:cs="Arial"/>
          <w:color w:val="000000"/>
          <w:kern w:val="0"/>
          <w:sz w:val="32"/>
          <w:szCs w:val="32"/>
        </w:rPr>
        <w:t>在</w:t>
      </w:r>
      <w:r>
        <w:rPr>
          <w:rFonts w:hint="eastAsia" w:ascii="仿宋" w:hAnsi="仿宋" w:eastAsia="仿宋" w:cs="Arial"/>
          <w:color w:val="000000"/>
          <w:kern w:val="0"/>
          <w:sz w:val="32"/>
          <w:szCs w:val="32"/>
        </w:rPr>
        <w:t>区文化广电旅游体育局或</w:t>
      </w:r>
      <w:r>
        <w:rPr>
          <w:rFonts w:ascii="仿宋" w:hAnsi="仿宋" w:eastAsia="仿宋" w:cs="Arial"/>
          <w:color w:val="000000"/>
          <w:kern w:val="0"/>
          <w:sz w:val="32"/>
          <w:szCs w:val="32"/>
        </w:rPr>
        <w:t>区</w:t>
      </w:r>
      <w:r>
        <w:rPr>
          <w:rFonts w:hint="eastAsia" w:ascii="仿宋" w:hAnsi="仿宋" w:eastAsia="仿宋" w:cs="Arial"/>
          <w:color w:val="000000"/>
          <w:kern w:val="0"/>
          <w:sz w:val="32"/>
          <w:szCs w:val="32"/>
        </w:rPr>
        <w:t>文化产业促进中心网站</w:t>
      </w:r>
      <w:r>
        <w:rPr>
          <w:rFonts w:ascii="仿宋" w:hAnsi="仿宋" w:eastAsia="仿宋" w:cs="Arial"/>
          <w:color w:val="000000"/>
          <w:kern w:val="0"/>
          <w:sz w:val="32"/>
          <w:szCs w:val="32"/>
        </w:rPr>
        <w:t>上公示（公示期为5天）。公示期满，无异议或者异议不成立的，由</w:t>
      </w:r>
      <w:r>
        <w:rPr>
          <w:rFonts w:hint="eastAsia" w:ascii="仿宋" w:hAnsi="仿宋" w:eastAsia="仿宋" w:cs="Arial"/>
          <w:color w:val="000000"/>
          <w:kern w:val="0"/>
          <w:sz w:val="32"/>
          <w:szCs w:val="32"/>
        </w:rPr>
        <w:t>区文化广电旅游体育局下发认定通知，</w:t>
      </w:r>
      <w:r>
        <w:rPr>
          <w:rFonts w:ascii="仿宋" w:hAnsi="仿宋" w:eastAsia="仿宋" w:cs="Arial"/>
          <w:color w:val="000000"/>
          <w:kern w:val="0"/>
          <w:sz w:val="32"/>
          <w:szCs w:val="32"/>
        </w:rPr>
        <w:t>授予 “龙岗区文化产业</w:t>
      </w:r>
      <w:r>
        <w:rPr>
          <w:rFonts w:hint="eastAsia" w:ascii="仿宋" w:hAnsi="仿宋" w:eastAsia="仿宋" w:cs="Arial"/>
          <w:color w:val="000000"/>
          <w:kern w:val="0"/>
          <w:sz w:val="32"/>
          <w:szCs w:val="32"/>
        </w:rPr>
        <w:t>公共服务平台</w:t>
      </w:r>
      <w:r>
        <w:rPr>
          <w:rFonts w:ascii="仿宋" w:hAnsi="仿宋" w:eastAsia="仿宋" w:cs="Arial"/>
          <w:color w:val="000000"/>
          <w:kern w:val="0"/>
          <w:sz w:val="32"/>
          <w:szCs w:val="32"/>
        </w:rPr>
        <w:t>”称号，</w:t>
      </w:r>
      <w:r>
        <w:rPr>
          <w:rFonts w:hint="eastAsia" w:ascii="仿宋" w:hAnsi="仿宋" w:eastAsia="仿宋" w:cs="Arial"/>
          <w:color w:val="000000"/>
          <w:kern w:val="0"/>
          <w:sz w:val="32"/>
          <w:szCs w:val="32"/>
        </w:rPr>
        <w:t>并颁发证书和牌匾</w:t>
      </w:r>
      <w:r>
        <w:rPr>
          <w:rFonts w:ascii="仿宋" w:hAnsi="仿宋" w:eastAsia="仿宋" w:cs="Arial"/>
          <w:color w:val="000000"/>
          <w:kern w:val="0"/>
          <w:sz w:val="32"/>
          <w:szCs w:val="32"/>
        </w:rPr>
        <w:t>。</w:t>
      </w:r>
    </w:p>
    <w:p>
      <w:pPr>
        <w:spacing w:line="560" w:lineRule="exact"/>
        <w:ind w:firstLine="604" w:firstLineChars="189"/>
        <w:rPr>
          <w:rFonts w:hint="eastAsia" w:ascii="黑体" w:hAnsi="黑体" w:eastAsia="黑体" w:cs="黑体"/>
          <w:color w:val="000000"/>
          <w:sz w:val="32"/>
          <w:szCs w:val="32"/>
        </w:rPr>
      </w:pPr>
      <w:r>
        <w:rPr>
          <w:rFonts w:hint="eastAsia" w:ascii="黑体" w:hAnsi="黑体" w:eastAsia="黑体" w:cs="黑体"/>
          <w:color w:val="000000"/>
          <w:sz w:val="32"/>
          <w:szCs w:val="32"/>
        </w:rPr>
        <w:t>五、有关定义诠释</w:t>
      </w:r>
    </w:p>
    <w:p>
      <w:pPr>
        <w:spacing w:line="560" w:lineRule="exact"/>
        <w:ind w:firstLine="604" w:firstLineChars="189"/>
        <w:rPr>
          <w:rFonts w:ascii="仿宋_GB2312" w:hAnsi="华文中宋" w:eastAsia="仿宋_GB2312"/>
          <w:sz w:val="32"/>
          <w:szCs w:val="32"/>
        </w:rPr>
      </w:pPr>
      <w:r>
        <w:rPr>
          <w:rFonts w:hint="eastAsia" w:ascii="仿宋" w:hAnsi="仿宋" w:eastAsia="仿宋" w:cs="仿宋"/>
          <w:sz w:val="32"/>
          <w:szCs w:val="32"/>
        </w:rPr>
        <w:t>《认定办法》所称文化企业是指从事文化产品和文化相关产品生产的企业，其主营业务必须属于国家统计局新近发布的《文化及相关产业分类》中列明的文化产业类别范围，或国家统计局新近发布的《战略性新兴产业分类》中列明的数字创意产业类别范围。</w:t>
      </w:r>
    </w:p>
    <w:p>
      <w:pPr>
        <w:spacing w:line="560" w:lineRule="exact"/>
        <w:ind w:firstLine="604" w:firstLineChars="189"/>
        <w:rPr>
          <w:rFonts w:ascii="仿宋_GB2312" w:hAnsi="宋体" w:eastAsia="仿宋_GB2312"/>
          <w:sz w:val="32"/>
          <w:szCs w:val="32"/>
        </w:rPr>
      </w:pPr>
      <w:bookmarkStart w:id="0" w:name="_GoBack"/>
      <w:bookmarkEnd w:id="0"/>
    </w:p>
    <w:sectPr>
      <w:footerReference r:id="rId3" w:type="default"/>
      <w:pgSz w:w="11906" w:h="16838"/>
      <w:pgMar w:top="1361" w:right="1588" w:bottom="1247"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79705" cy="139700"/>
              <wp:effectExtent l="0" t="0" r="4445" b="6350"/>
              <wp:wrapNone/>
              <wp:docPr id="1" name="文本框 1"/>
              <wp:cNvGraphicFramePr/>
              <a:graphic xmlns:a="http://schemas.openxmlformats.org/drawingml/2006/main">
                <a:graphicData uri="http://schemas.microsoft.com/office/word/2010/wordprocessingShape">
                  <wps:wsp>
                    <wps:cNvSpPr txBox="1"/>
                    <wps:spPr>
                      <a:xfrm>
                        <a:off x="0" y="0"/>
                        <a:ext cx="179705" cy="139700"/>
                      </a:xfrm>
                      <a:prstGeom prst="rect">
                        <a:avLst/>
                      </a:prstGeom>
                      <a:noFill/>
                      <a:ln w="6350">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- 2 -</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14.15pt;mso-position-horizontal:outside;mso-position-horizontal-relative:margin;mso-wrap-style:none;z-index:251658240;mso-width-relative:page;mso-height-relative:page;" filled="f" stroked="f" coordsize="21600,21600" o:gfxdata="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jHyBjdEAAAADAQAADwAAAAAAAAABACAAAAAiAAAA&#10;ZHJzL2Rvd25yZXYueG1sUEsBAhQAFAAAAAgAh07iQJ6eWqUOAgAABQQAAA4AAAAAAAAAAQAgAAAA&#10;IAEAAGRycy9lMm9Eb2MueG1sUEsFBgAAAAAGAAYAWQEAAKAFA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DCD6D7"/>
    <w:multiLevelType w:val="singleLevel"/>
    <w:tmpl w:val="5CDCD6D7"/>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380"/>
    <w:rsid w:val="00077E33"/>
    <w:rsid w:val="000950F2"/>
    <w:rsid w:val="000A0030"/>
    <w:rsid w:val="000B344E"/>
    <w:rsid w:val="000C394A"/>
    <w:rsid w:val="000F695B"/>
    <w:rsid w:val="0010784F"/>
    <w:rsid w:val="00131021"/>
    <w:rsid w:val="00163E66"/>
    <w:rsid w:val="00186E1E"/>
    <w:rsid w:val="001D65B7"/>
    <w:rsid w:val="00205A90"/>
    <w:rsid w:val="0023250A"/>
    <w:rsid w:val="00252BCF"/>
    <w:rsid w:val="00295AA1"/>
    <w:rsid w:val="002E0EC6"/>
    <w:rsid w:val="003720B2"/>
    <w:rsid w:val="003828A3"/>
    <w:rsid w:val="003A6B9F"/>
    <w:rsid w:val="003B5724"/>
    <w:rsid w:val="003C79AC"/>
    <w:rsid w:val="003E7139"/>
    <w:rsid w:val="00444B41"/>
    <w:rsid w:val="00472662"/>
    <w:rsid w:val="004968EB"/>
    <w:rsid w:val="004B6380"/>
    <w:rsid w:val="004C1C84"/>
    <w:rsid w:val="004D3672"/>
    <w:rsid w:val="00502C8A"/>
    <w:rsid w:val="005067E2"/>
    <w:rsid w:val="0050680E"/>
    <w:rsid w:val="005530D7"/>
    <w:rsid w:val="00554D43"/>
    <w:rsid w:val="005559A7"/>
    <w:rsid w:val="00583C58"/>
    <w:rsid w:val="005910A2"/>
    <w:rsid w:val="005C40B4"/>
    <w:rsid w:val="005E265B"/>
    <w:rsid w:val="005E4720"/>
    <w:rsid w:val="005F388E"/>
    <w:rsid w:val="00615A3E"/>
    <w:rsid w:val="0065065C"/>
    <w:rsid w:val="0065119E"/>
    <w:rsid w:val="00652ABF"/>
    <w:rsid w:val="00695463"/>
    <w:rsid w:val="006B204A"/>
    <w:rsid w:val="00712870"/>
    <w:rsid w:val="007257BF"/>
    <w:rsid w:val="00732D00"/>
    <w:rsid w:val="0075138B"/>
    <w:rsid w:val="007669EE"/>
    <w:rsid w:val="007B1EC7"/>
    <w:rsid w:val="007F1D9D"/>
    <w:rsid w:val="0080130B"/>
    <w:rsid w:val="00803C3A"/>
    <w:rsid w:val="00804E95"/>
    <w:rsid w:val="00805AA2"/>
    <w:rsid w:val="008062DD"/>
    <w:rsid w:val="00807D9E"/>
    <w:rsid w:val="008A274D"/>
    <w:rsid w:val="008A5848"/>
    <w:rsid w:val="008B242D"/>
    <w:rsid w:val="008D2617"/>
    <w:rsid w:val="008E378B"/>
    <w:rsid w:val="008F07FA"/>
    <w:rsid w:val="00920806"/>
    <w:rsid w:val="00966BE2"/>
    <w:rsid w:val="00966F22"/>
    <w:rsid w:val="00992609"/>
    <w:rsid w:val="00A21397"/>
    <w:rsid w:val="00A25A6A"/>
    <w:rsid w:val="00A40030"/>
    <w:rsid w:val="00A53EE6"/>
    <w:rsid w:val="00A77BEF"/>
    <w:rsid w:val="00AD2F52"/>
    <w:rsid w:val="00B9072D"/>
    <w:rsid w:val="00BC7DA4"/>
    <w:rsid w:val="00BD4BB0"/>
    <w:rsid w:val="00BD5C44"/>
    <w:rsid w:val="00C236A8"/>
    <w:rsid w:val="00C84741"/>
    <w:rsid w:val="00CA1028"/>
    <w:rsid w:val="00D64651"/>
    <w:rsid w:val="00D70AAA"/>
    <w:rsid w:val="00D907D5"/>
    <w:rsid w:val="00DA7652"/>
    <w:rsid w:val="00DB5581"/>
    <w:rsid w:val="00DC6150"/>
    <w:rsid w:val="00DD1C85"/>
    <w:rsid w:val="00DE2995"/>
    <w:rsid w:val="00E40E9C"/>
    <w:rsid w:val="00F30F84"/>
    <w:rsid w:val="00F9561B"/>
    <w:rsid w:val="00FB1B5C"/>
    <w:rsid w:val="00FD5605"/>
    <w:rsid w:val="00FE19C3"/>
    <w:rsid w:val="00FE210B"/>
    <w:rsid w:val="00FE5FE6"/>
    <w:rsid w:val="056720C6"/>
    <w:rsid w:val="07057D23"/>
    <w:rsid w:val="0BE2233C"/>
    <w:rsid w:val="13A05334"/>
    <w:rsid w:val="1616111F"/>
    <w:rsid w:val="16F078B8"/>
    <w:rsid w:val="1AEF223F"/>
    <w:rsid w:val="1B0328DB"/>
    <w:rsid w:val="1CEF7273"/>
    <w:rsid w:val="1FD8705C"/>
    <w:rsid w:val="20E57E71"/>
    <w:rsid w:val="25095963"/>
    <w:rsid w:val="2737022F"/>
    <w:rsid w:val="2DCE4E57"/>
    <w:rsid w:val="2E657DC7"/>
    <w:rsid w:val="3170311D"/>
    <w:rsid w:val="391E2F10"/>
    <w:rsid w:val="3D34254A"/>
    <w:rsid w:val="3EA263D2"/>
    <w:rsid w:val="43BB6B5C"/>
    <w:rsid w:val="4A3E0388"/>
    <w:rsid w:val="4D1F3F51"/>
    <w:rsid w:val="53432778"/>
    <w:rsid w:val="545D47C4"/>
    <w:rsid w:val="5B1439BB"/>
    <w:rsid w:val="60EF4595"/>
    <w:rsid w:val="61DF4C16"/>
    <w:rsid w:val="697E369C"/>
    <w:rsid w:val="6ED3403B"/>
    <w:rsid w:val="7476731B"/>
    <w:rsid w:val="74A07D48"/>
    <w:rsid w:val="7ADD16F6"/>
    <w:rsid w:val="7DAF42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7">
    <w:name w:val="Hyperlink"/>
    <w:basedOn w:val="6"/>
    <w:qFormat/>
    <w:uiPriority w:val="0"/>
    <w:rPr>
      <w:color w:val="0000FF"/>
      <w:u w:val="single"/>
    </w:rPr>
  </w:style>
  <w:style w:type="table" w:styleId="9">
    <w:name w:val="Table Grid"/>
    <w:basedOn w:val="8"/>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0">
    <w:name w:val="批注框文本 Char"/>
    <w:basedOn w:val="6"/>
    <w:link w:val="2"/>
    <w:qFormat/>
    <w:uiPriority w:val="0"/>
    <w:rPr>
      <w:rFonts w:ascii="Calibri" w:hAnsi="Calibri"/>
      <w:kern w:val="2"/>
      <w:sz w:val="18"/>
      <w:szCs w:val="18"/>
    </w:rPr>
  </w:style>
  <w:style w:type="paragraph" w:customStyle="1" w:styleId="11">
    <w:name w:val="列出段落1"/>
    <w:basedOn w:val="1"/>
    <w:qFormat/>
    <w:uiPriority w:val="0"/>
    <w:pPr>
      <w:ind w:firstLine="420" w:firstLineChars="200"/>
    </w:pPr>
    <w:rPr>
      <w:rFonts w:ascii="Times New Roman" w:hAnsi="Times New Roman"/>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5</Pages>
  <Words>315</Words>
  <Characters>1800</Characters>
  <Lines>15</Lines>
  <Paragraphs>4</Paragraphs>
  <TotalTime>0</TotalTime>
  <ScaleCrop>false</ScaleCrop>
  <LinksUpToDate>false</LinksUpToDate>
  <CharactersWithSpaces>2111</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2020-02-12T01:54:00Z</dcterms:created>
  <dc:creator>zouxg</dc:creator>
  <cp:lastModifiedBy>薛文霞</cp:lastModifiedBy>
  <dcterms:modified xsi:type="dcterms:W3CDTF">2020-02-12T07:43:34Z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