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深圳市龙岗区科技创新局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为坚持和完善社会、群众对我局的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法定监督保障制度，全面反映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政府信息公开工作情况，加强政府信息管理、摸清政府信息底数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，根据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《中华人民共和国政府信息公开条例》及授权，结合工作实际，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特制定本报告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。本报告由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总体情况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、主动公开政府信息情况、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收到和处理政府信息公开申请情况、政府信息公开行政复议、行政诉讼情况和存在的主要问题及改进情况共五个部分组成。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本报告中所列数据的统计期限自2019年1月1日起至2019年12月31日止。本报告可在龙岗政府在线网（www.lg.gov.cn）查阅。如对本报告有任何疑问，请联系龙岗区科技创新局（电话：28876303，电子邮箱：kcj@lg.gov.cn）。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2019年，我局认真贯彻落实《中华人民共和国政府信息公开条例 》和区委区政府统一部署，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严格按照“公开为原则，不公开为例外”的总体要求，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扎实做好政务信息公开各项工作，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妥善处理公开与保密的关系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按要求按时发布政务信息，及时、全面、有效地主动公开政府信息，为公众提供了比较好的政府信息公开服务。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强化组织领导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我局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成立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以局办公室为主要责任科室的政务公开工作小组，明确专人负责政府信息公开工作。成立以局长为组长，分管副局长为副组长的政务公开督察小组，切实加强对政务公开工作的领导、督查和指导。同时，根据人员变动，及时对局政府信息公开工作领导小组人员进行调整充实。健全领导机制，确保民宗局的政府信息工作顺利开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（二）编制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公开指南和目录。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为方便公众获取我局的政府信息，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我局编制了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《政府信息公开指南》和《政府信息公开目录》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对公开的信息内容、获取方式、工作机构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机构职能、规章文件、规划计划、业务工作、依申请公开等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八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大方面的内容做出详细的公开。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（三）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制定和完善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配套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制度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局注重加强和完善政府信息公开制度建设工作，根据《中华人民共和国政府信息公开条例》要求，参照市、区有关规定，我局制定《深圳市龙岗区科技创新局政务公开操作规程》、《深圳市龙岗区科技创新局新闻发言制度》和《深圳市龙岗区科技创新局政务信息发布审批制度》等制度并认真执行，同时结合工作实际，严格执行《深圳市龙岗区科技创新局政府信息公开保密审查制度》，真正做到“涉密不上网，上网不涉密”，“谁上网，谁负责，谁审批谁负责”的相关要求，进一步保障了科技创新工作政府信息公开内容的安全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（四）积极做好《政府信息公开条例》的宣传工作。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为了使全局的干部员工重视和配合开展政府信息公开工作，局领导专门在局务会上对全局主要领导干部开展培训活动，并在各科室和事业单位开展相关学习活动。积极参与举办的相关培训活动，有效地推进了政府信息公开工作的落实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2019年全年，我局共主动公开政府信息286条，具体为：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机构设置类信息共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条，占总体的比例为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2.447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％；规划计划类信息共3条，占总体的比例为1.048％；资金信息信息共2条，占总体的比例为0.699％；重点领域信息公开类共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条，占总体的比例为6.993％；科技创业类共2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条，占总体的比例为9.09%；法律法规类共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条，占总体的比例为3.146%；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人事信息类共10条，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占总体的比例为3.496%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其他类信息共2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条，占总体的比例为73.076%。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根据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《中华人民共和国政府信息公开条例》规定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，对上述公开信息中，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人民群众较为关注、对社会影响较大的政府信息主动公开情况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如下：</w:t>
      </w:r>
    </w:p>
    <w:tbl>
      <w:tblPr>
        <w:tblStyle w:val="6"/>
        <w:tblW w:w="8140" w:type="dxa"/>
        <w:jc w:val="center"/>
        <w:tblInd w:w="19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减</w:t>
            </w:r>
            <w:r>
              <w:rPr>
                <w:rFonts w:hint="eastAsia"/>
                <w:color w:val="auto"/>
                <w:lang w:val="en-US" w:eastAsia="zh-CN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2650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6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65"/>
        <w:gridCol w:w="2120"/>
        <w:gridCol w:w="825"/>
        <w:gridCol w:w="764"/>
        <w:gridCol w:w="765"/>
        <w:gridCol w:w="826"/>
        <w:gridCol w:w="989"/>
        <w:gridCol w:w="722"/>
        <w:gridCol w:w="5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6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2019年，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我局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政府信息公开工作在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区委区政府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的正确领导下，做了大量工作，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取得了一定成效，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但标准还不够高，内容还不够全面，信息更新还需要更及时；公开形式的便民性在今后的工作中需要进一步提高。下一步，我局将严格按照《条例》要求，紧密结合我局实际情况，着力从以下几个方面改进工作：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（一）进一步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规范政府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信息公开工作。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继续加强对今年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5月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新修订的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《中华人民共和国政府信息公开条例》内容的学习和贯彻，认真清理政府信息公开事项，查漏补缺，修订信息公开指南和目录，确保应公开的政务信息全部公开。同时严把质量关、保密审查关，依据有关法律、法规严格审核公开内容，确保政府信息公开不影响国家安全、公共安全、经济安全和社会稳定，真正体现公开、公平、公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（二）进一步强化组织领导。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结合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机构改革和领导和人员调整变化实际，明确职责分工，完善工作机制，不断创新工作方式方法，突出重点，注重实效，加强信息报送工作力度，使信息公开业务更加有序、便民、高效，确保广大人民群众的知情权、参与权、表达权和监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）进一步加大宣传力度，营造良好信息公开氛围。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除继续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利用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纸媒、广播电视、门户网站等传统媒介做好政府信息公开外，拓宽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渠道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和丰富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形式，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积极使用微信公众号等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向社会和广大群众深入宣传政府信息公开条例实施的重要意义，诠释解读好《条例》，努力形成群众积极关心政府信息公开的社会氛围。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）进一步加强信息公开制度建设。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充实完善我局信息公开工作审核发布、日常考核、责任追究等制度，加强各业务科室专管员信息公开工作培训，强化责任意识，确保政府信息及时、准确、规范的通过政府网站予以发布。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footerReference r:id="rId3" w:type="default"/>
      <w:pgSz w:w="11906" w:h="16838"/>
      <w:pgMar w:top="192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3284A"/>
    <w:rsid w:val="05FC3119"/>
    <w:rsid w:val="06673905"/>
    <w:rsid w:val="0E5819C1"/>
    <w:rsid w:val="126C0642"/>
    <w:rsid w:val="1A524251"/>
    <w:rsid w:val="29144C96"/>
    <w:rsid w:val="2B23284A"/>
    <w:rsid w:val="2C69012F"/>
    <w:rsid w:val="2D777168"/>
    <w:rsid w:val="31E637C6"/>
    <w:rsid w:val="557E637E"/>
    <w:rsid w:val="6B220203"/>
    <w:rsid w:val="7829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2019-12-02T06:57:00Z</dcterms:created>
  <dc:creator>谭阳洋</dc:creator>
  <cp:lastModifiedBy>科创办文</cp:lastModifiedBy>
  <dcterms:modified xsi:type="dcterms:W3CDTF">2020-02-14T08:02:05Z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