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龙岗区水务局2019年政府信息公开工作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年度报告</w:t>
      </w:r>
    </w:p>
    <w:p>
      <w:pPr>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本年报根据《中华人民共和国政府信息公开条例》（下称《条例》）要求编制，由总体情况、主动公开政府信息情况、依申请公开政府信息办理情况、政府信息公开的收费及减免情况、因政府信息公开申请行政复议、提起行政诉讼情况、政府信息公开工作存在的主要问题及改进情况等组成。本报告所列数据的统计期限为2019年1月1日至2019年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shd w:val="clear" w:fill="FFFFFF"/>
        </w:rPr>
        <w:t>一、总体情况</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2019年，我局紧紧围绕市、区政务公开的重点，以贯彻落实《条例》要求为主线，以保障群众的知情权为根本，加强政务公开的管理和服务工作，推动了政务工作的公正、公开、透明，有力地促进了全局工作的顺利开展。按照条例要求，本局对涉及群众切身利益、需要社会广泛知晓或参加的政府信息，按照及时、便民原则，通过新闻发布会、政府门户网站、新闻媒体、公开栏等多种方式及时主动向社会进行了公开，做到了应公开尽公开。公开内容包括机构设置、政策法规、规划计划、业务工作、监督检查、资金信息、工作动态、通知公告以督办执法等重点领域信息。公众可通过龙岗政府在线或龙岗区水务局门户网站查阅我局发布的主动公开政府信息内容。</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r>
        <w:rPr>
          <w:rFonts w:hint="eastAsia" w:ascii="黑体" w:hAnsi="黑体" w:eastAsia="黑体" w:cs="黑体"/>
          <w:b/>
          <w:i w:val="0"/>
          <w:caps w:val="0"/>
          <w:color w:val="auto"/>
          <w:spacing w:val="0"/>
          <w:sz w:val="32"/>
          <w:szCs w:val="32"/>
          <w:shd w:val="clear" w:fill="FFFFFF"/>
        </w:rPr>
        <w:t>二、主动公开政府信息情况</w:t>
      </w:r>
    </w:p>
    <w:tbl>
      <w:tblPr>
        <w:tblStyle w:val="3"/>
        <w:tblW w:w="8140" w:type="dxa"/>
        <w:jc w:val="center"/>
        <w:tblInd w:w="191" w:type="dxa"/>
        <w:shd w:val="clear" w:color="auto" w:fill="auto"/>
        <w:tblLayout w:type="fixed"/>
        <w:tblCellMar>
          <w:top w:w="0" w:type="dxa"/>
          <w:left w:w="0" w:type="dxa"/>
          <w:bottom w:w="0" w:type="dxa"/>
          <w:right w:w="0" w:type="dxa"/>
        </w:tblCellMar>
      </w:tblPr>
      <w:tblGrid>
        <w:gridCol w:w="3113"/>
        <w:gridCol w:w="1875"/>
        <w:gridCol w:w="6"/>
        <w:gridCol w:w="1265"/>
        <w:gridCol w:w="1881"/>
      </w:tblGrid>
      <w:tr>
        <w:tblPrEx>
          <w:shd w:val="clear" w:color="auto" w:fill="auto"/>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32"/>
                <w:szCs w:val="32"/>
                <w:lang w:val="en-US" w:eastAsia="zh-CN" w:bidi="ar"/>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本年新</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本年新</w:t>
            </w:r>
            <w:r>
              <w:rPr>
                <w:rFonts w:hint="eastAsia" w:ascii="仿宋" w:hAnsi="仿宋" w:eastAsia="仿宋" w:cs="仿宋"/>
                <w:color w:val="auto"/>
                <w:kern w:val="0"/>
                <w:sz w:val="20"/>
                <w:szCs w:val="20"/>
                <w:lang w:val="en-US" w:eastAsia="zh-CN" w:bidi="ar"/>
              </w:rPr>
              <w:br w:type="textWrapping"/>
            </w:r>
            <w:r>
              <w:rPr>
                <w:rFonts w:hint="eastAsia" w:ascii="仿宋" w:hAnsi="仿宋" w:eastAsia="仿宋" w:cs="仿宋"/>
                <w:color w:val="auto"/>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无</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无</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无</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无</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32"/>
                <w:szCs w:val="32"/>
                <w:lang w:val="en-US" w:eastAsia="zh-CN" w:bidi="ar"/>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eastAsia="zh-CN"/>
              </w:rPr>
            </w:pPr>
            <w:r>
              <w:rPr>
                <w:rFonts w:hint="eastAsia" w:ascii="仿宋" w:hAnsi="仿宋" w:eastAsia="仿宋" w:cs="仿宋"/>
                <w:color w:val="auto"/>
                <w:lang w:val="en-US" w:eastAsia="zh-CN"/>
              </w:rPr>
              <w:t>1338</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eastAsia="zh-CN"/>
              </w:rPr>
            </w:pPr>
            <w:r>
              <w:rPr>
                <w:rFonts w:hint="eastAsia" w:ascii="仿宋" w:hAnsi="仿宋" w:eastAsia="仿宋" w:cs="仿宋"/>
                <w:color w:val="auto"/>
                <w:lang w:val="en-US" w:eastAsia="zh-CN"/>
              </w:rPr>
              <w:t>增607</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rPr>
            </w:pPr>
            <w:r>
              <w:rPr>
                <w:rFonts w:hint="eastAsia" w:ascii="仿宋" w:hAnsi="仿宋" w:eastAsia="仿宋" w:cs="仿宋"/>
                <w:color w:val="auto"/>
                <w:lang w:val="en-US" w:eastAsia="zh-CN"/>
              </w:rPr>
              <w:t>1945</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无</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32"/>
                <w:szCs w:val="32"/>
                <w:lang w:val="en-US" w:eastAsia="zh-CN" w:bidi="ar"/>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eastAsia="zh-CN"/>
              </w:rPr>
            </w:pPr>
            <w:r>
              <w:rPr>
                <w:rFonts w:hint="eastAsia" w:ascii="仿宋" w:hAnsi="仿宋" w:eastAsia="仿宋" w:cs="仿宋"/>
                <w:color w:val="auto"/>
                <w:lang w:val="en-US" w:eastAsia="zh-CN"/>
              </w:rPr>
              <w:t>27</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eastAsia="zh-CN"/>
              </w:rPr>
            </w:pPr>
            <w:r>
              <w:rPr>
                <w:rFonts w:hint="eastAsia" w:ascii="仿宋" w:hAnsi="仿宋" w:eastAsia="仿宋" w:cs="仿宋"/>
                <w:color w:val="auto"/>
                <w:lang w:eastAsia="zh-CN"/>
              </w:rPr>
              <w:t>增</w:t>
            </w:r>
            <w:r>
              <w:rPr>
                <w:rFonts w:hint="eastAsia" w:ascii="仿宋" w:hAnsi="仿宋" w:eastAsia="仿宋" w:cs="仿宋"/>
                <w:color w:val="auto"/>
                <w:lang w:val="en-US" w:eastAsia="zh-CN"/>
              </w:rPr>
              <w:t>14</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rPr>
            </w:pPr>
            <w:r>
              <w:rPr>
                <w:rFonts w:hint="eastAsia" w:ascii="仿宋" w:hAnsi="仿宋" w:eastAsia="仿宋" w:cs="仿宋"/>
                <w:color w:val="auto"/>
                <w:lang w:val="en-US" w:eastAsia="zh-CN"/>
              </w:rPr>
              <w:t>41</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无</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32"/>
                <w:szCs w:val="32"/>
                <w:lang w:val="en-US" w:eastAsia="zh-CN" w:bidi="ar"/>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无</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lang w:val="en-US" w:eastAsia="zh-CN"/>
              </w:rPr>
              <w:t>/</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32"/>
                <w:szCs w:val="32"/>
                <w:lang w:val="en-US" w:eastAsia="zh-CN" w:bidi="ar"/>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8</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7102.92万元</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宋体" w:hAnsi="宋体" w:eastAsia="宋体" w:cs="宋体"/>
          <w:i w:val="0"/>
          <w:caps w:val="0"/>
          <w:color w:val="auto"/>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r>
        <w:rPr>
          <w:rFonts w:hint="eastAsia" w:ascii="黑体" w:hAnsi="黑体" w:eastAsia="黑体" w:cs="黑体"/>
          <w:b/>
          <w:i w:val="0"/>
          <w:caps w:val="0"/>
          <w:color w:val="auto"/>
          <w:spacing w:val="0"/>
          <w:sz w:val="32"/>
          <w:szCs w:val="32"/>
          <w:shd w:val="clear" w:fill="FFFFFF"/>
        </w:rPr>
        <w:t>三、收到和处理政府信息公开申请情况</w:t>
      </w:r>
    </w:p>
    <w:tbl>
      <w:tblPr>
        <w:tblStyle w:val="3"/>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8"/>
        <w:gridCol w:w="865"/>
        <w:gridCol w:w="2388"/>
        <w:gridCol w:w="557"/>
        <w:gridCol w:w="764"/>
        <w:gridCol w:w="765"/>
        <w:gridCol w:w="826"/>
        <w:gridCol w:w="989"/>
        <w:gridCol w:w="722"/>
        <w:gridCol w:w="5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87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（本列数据的勾稽关系为：第一项加第二项之和，等于第三项加第四项之和）</w:t>
            </w:r>
          </w:p>
        </w:tc>
        <w:tc>
          <w:tcPr>
            <w:tcW w:w="5200"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7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55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自然人</w:t>
            </w:r>
          </w:p>
        </w:tc>
        <w:tc>
          <w:tcPr>
            <w:tcW w:w="406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法人或其他组织</w:t>
            </w:r>
          </w:p>
        </w:tc>
        <w:tc>
          <w:tcPr>
            <w:tcW w:w="57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7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55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商业企业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科研机构</w:t>
            </w:r>
          </w:p>
        </w:tc>
        <w:tc>
          <w:tcPr>
            <w:tcW w:w="82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社会公益组织</w:t>
            </w:r>
          </w:p>
        </w:tc>
        <w:tc>
          <w:tcPr>
            <w:tcW w:w="9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法律服务机构</w:t>
            </w:r>
          </w:p>
        </w:tc>
        <w:tc>
          <w:tcPr>
            <w:tcW w:w="72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其他</w:t>
            </w:r>
          </w:p>
        </w:tc>
        <w:tc>
          <w:tcPr>
            <w:tcW w:w="57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7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一、本年新收政府信息公开申请数量</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9</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9</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7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二、上年结转政府信息公开申请数量</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3</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2</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仿宋" w:hAnsi="仿宋" w:eastAsia="仿宋" w:cs="仿宋"/>
                <w:color w:val="auto"/>
                <w:lang w:val="en-US"/>
              </w:rPr>
            </w:pPr>
            <w:r>
              <w:rPr>
                <w:rFonts w:hint="eastAsia" w:ascii="仿宋" w:hAnsi="仿宋" w:eastAsia="仿宋" w:cs="仿宋"/>
                <w:color w:val="auto"/>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restart"/>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宋体" w:hAnsi="宋体" w:eastAsia="宋体" w:cs="宋体"/>
                <w:color w:val="auto"/>
                <w:kern w:val="0"/>
                <w:sz w:val="20"/>
                <w:szCs w:val="20"/>
                <w:lang w:val="en-US" w:eastAsia="zh-CN" w:bidi="ar"/>
              </w:rPr>
              <w:t>三、本年度办理结果</w:t>
            </w:r>
          </w:p>
        </w:tc>
        <w:tc>
          <w:tcPr>
            <w:tcW w:w="3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ascii="楷体" w:hAnsi="楷体" w:eastAsia="楷体" w:cs="楷体"/>
                <w:color w:val="auto"/>
                <w:kern w:val="0"/>
                <w:sz w:val="20"/>
                <w:szCs w:val="20"/>
                <w:lang w:val="en-US" w:eastAsia="zh-CN" w:bidi="ar"/>
              </w:rPr>
              <w:t>（一）予以公开</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7</w:t>
            </w: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3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（二）部分公开（区分处理的，只计这一情形，不计其他情形）</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（三）不予公开</w:t>
            </w: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1.属于国家秘密</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2.其他法律行政法规禁止公开</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3.危及“三安全一稳定”</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4.保护第三方合法权益</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5.属于三类内部事务信息</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6.属于四类过程性信息</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7.属于行政执法案卷</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8.属于行政查询事项</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（四）无法提供</w:t>
            </w: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1.本机关不掌握相关政府信息</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2</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2</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2.没有现成信息需要另行制作</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3.补正后申请内容仍不明确</w:t>
            </w:r>
          </w:p>
        </w:tc>
        <w:tc>
          <w:tcPr>
            <w:tcW w:w="557"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（五）不予处理</w:t>
            </w:r>
          </w:p>
        </w:tc>
        <w:tc>
          <w:tcPr>
            <w:tcW w:w="23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1.信访举报投诉类申请</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2.重复申请</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3.要求提供公开出版物</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4.无正当理由大量反复申请</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86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23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5.要求行政机关确认或重新出具已获取信息</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3253"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（六）其他处理</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color w:val="auto"/>
                <w:sz w:val="24"/>
                <w:szCs w:val="24"/>
              </w:rPr>
            </w:pPr>
          </w:p>
        </w:tc>
        <w:tc>
          <w:tcPr>
            <w:tcW w:w="3253"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楷体" w:hAnsi="楷体" w:eastAsia="楷体" w:cs="楷体"/>
                <w:color w:val="auto"/>
                <w:kern w:val="0"/>
                <w:sz w:val="20"/>
                <w:szCs w:val="20"/>
                <w:lang w:val="en-US" w:eastAsia="zh-CN" w:bidi="ar"/>
              </w:rPr>
              <w:t>（七）总计</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71" w:type="dxa"/>
            <w:gridSpan w:val="3"/>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color w:val="auto"/>
              </w:rPr>
            </w:pPr>
            <w:r>
              <w:rPr>
                <w:rFonts w:hint="eastAsia" w:ascii="宋体" w:hAnsi="宋体" w:eastAsia="宋体" w:cs="宋体"/>
                <w:color w:val="auto"/>
                <w:kern w:val="0"/>
                <w:sz w:val="20"/>
                <w:szCs w:val="20"/>
                <w:lang w:val="en-US" w:eastAsia="zh-CN" w:bidi="ar"/>
              </w:rPr>
              <w:t>四、结转下年度继续办理</w:t>
            </w:r>
          </w:p>
        </w:tc>
        <w:tc>
          <w:tcPr>
            <w:tcW w:w="55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6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9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72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57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eastAsiaTheme="minorEastAsia"/>
                <w:color w:val="auto"/>
                <w:sz w:val="24"/>
                <w:szCs w:val="24"/>
                <w:lang w:val="en-US" w:eastAsia="zh-CN"/>
              </w:rPr>
            </w:pPr>
            <w:r>
              <w:rPr>
                <w:rFonts w:hint="eastAsia" w:ascii="宋体"/>
                <w:color w:val="auto"/>
                <w:sz w:val="24"/>
                <w:szCs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宋体" w:cs="宋体"/>
          <w:i w:val="0"/>
          <w:caps w:val="0"/>
          <w:color w:val="auto"/>
          <w:spacing w:val="0"/>
          <w:sz w:val="24"/>
          <w:szCs w:val="24"/>
        </w:rPr>
      </w:pPr>
      <w:r>
        <w:rPr>
          <w:rFonts w:hint="eastAsia" w:ascii="黑体" w:hAnsi="黑体" w:eastAsia="黑体" w:cs="黑体"/>
          <w:b/>
          <w:i w:val="0"/>
          <w:caps w:val="0"/>
          <w:color w:val="auto"/>
          <w:spacing w:val="0"/>
          <w:sz w:val="32"/>
          <w:szCs w:val="32"/>
          <w:shd w:val="clear" w:fill="FFFFFF"/>
        </w:rPr>
        <w:t>四、政府信息公开行政复议、行政诉讼情况</w:t>
      </w:r>
    </w:p>
    <w:tbl>
      <w:tblPr>
        <w:tblStyle w:val="3"/>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48"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仿宋" w:hAnsi="仿宋" w:eastAsia="仿宋" w:cs="仿宋"/>
                <w:color w:val="auto"/>
              </w:rPr>
            </w:pPr>
            <w:r>
              <w:rPr>
                <w:rFonts w:hint="eastAsia" w:ascii="仿宋" w:hAnsi="仿宋" w:eastAsia="仿宋" w:cs="仿宋"/>
                <w:color w:val="auto"/>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24"/>
                <w:szCs w:val="24"/>
              </w:rPr>
            </w:pPr>
            <w:r>
              <w:rPr>
                <w:rFonts w:hint="eastAsia" w:ascii="仿宋" w:hAnsi="仿宋" w:eastAsia="仿宋" w:cs="仿宋"/>
                <w:color w:val="auto"/>
                <w:kern w:val="0"/>
                <w:sz w:val="20"/>
                <w:szCs w:val="20"/>
                <w:lang w:val="en-US" w:eastAsia="zh-CN" w:bidi="ar"/>
              </w:rPr>
              <w:t>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黑体" w:hAnsi="黑体" w:eastAsia="黑体" w:cs="黑体"/>
          <w:b/>
          <w:i w:val="0"/>
          <w:caps w:val="0"/>
          <w:color w:val="auto"/>
          <w:spacing w:val="0"/>
          <w:sz w:val="32"/>
          <w:szCs w:val="32"/>
          <w:shd w:val="clear" w:fill="FFFFFF"/>
        </w:rPr>
      </w:pPr>
      <w:r>
        <w:rPr>
          <w:rFonts w:hint="eastAsia" w:ascii="黑体" w:hAnsi="黑体" w:eastAsia="黑体" w:cs="黑体"/>
          <w:b/>
          <w:i w:val="0"/>
          <w:caps w:val="0"/>
          <w:color w:val="auto"/>
          <w:spacing w:val="0"/>
          <w:sz w:val="32"/>
          <w:szCs w:val="32"/>
          <w:shd w:val="clear" w:fill="FFFFFF"/>
        </w:rPr>
        <w:t>五、存在的主要问题及改进情况</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目前，我局政府信息公开工作虽然取得了一定的成效，但信息公开内容及公开形式与公众需求仍有一定的差距，有待进一步的提高。2020年，我局将继续按照《条例》要求，以门户网站为主渠道加大信息公开力度，为打造创新型和服务型的阳光政府部门而努力。</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（一）继续加大信息公开力度。结合年度信息公开工作总体要求，进一步加大公开力度，扩大公开范围，畅通公开渠道，完善公开机制。</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（二）继续提高信息公开质量。依法、及时、准确公开与市民密切相关政府信息，进一步健全保密审查、信息发布等工作机制，加大信息审核力度，提高信息公开质量。</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三）继续提高网站服务水平。加强业务学习，进一步提高工作人员在办事和便民服务、答复公众来信和围绕重点工作开展民意征集等方面的能力，指定专人做好信息采、编、审、发等工作，提高行政管理的透明度和办事效率。</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（四）结合省、市有关工作部署，利用新媒体对环保水务有关工作信息进行公开。</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outlineLvl w:val="9"/>
        <w:rPr>
          <w:rFonts w:hint="eastAsia" w:ascii="仿宋_GB2312" w:hAnsi="Times New Roman" w:eastAsia="仿宋_GB2312" w:cs="Times New Roman"/>
          <w:color w:val="000000"/>
          <w:kern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 xml:space="preserve">                                    龙岗区水务局</w:t>
      </w:r>
    </w:p>
    <w:p>
      <w:pPr>
        <w:keepNext w:val="0"/>
        <w:keepLines w:val="0"/>
        <w:pageBreakBefore w:val="0"/>
        <w:widowControl/>
        <w:kinsoku/>
        <w:wordWrap/>
        <w:overflowPunct/>
        <w:topLinePunct w:val="0"/>
        <w:autoSpaceDE/>
        <w:autoSpaceDN/>
        <w:bidi w:val="0"/>
        <w:adjustRightInd/>
        <w:snapToGrid w:val="0"/>
        <w:spacing w:line="560" w:lineRule="exact"/>
        <w:ind w:firstLine="640"/>
        <w:jc w:val="right"/>
        <w:textAlignment w:val="auto"/>
        <w:outlineLvl w:val="9"/>
        <w:rPr>
          <w:rFonts w:hint="eastAsia" w:ascii="仿宋_GB2312" w:hAnsi="Times New Roman" w:eastAsia="仿宋_GB2312" w:cs="Times New Roman"/>
          <w:color w:val="000000"/>
          <w:kern w:val="0"/>
          <w:sz w:val="32"/>
          <w:szCs w:val="32"/>
          <w:lang w:val="en-US" w:eastAsia="zh-CN"/>
        </w:rPr>
      </w:pPr>
      <w:r>
        <w:rPr>
          <w:rFonts w:hint="eastAsia" w:ascii="仿宋" w:hAnsi="仿宋" w:eastAsia="仿宋" w:cs="仿宋"/>
          <w:i w:val="0"/>
          <w:caps w:val="0"/>
          <w:color w:val="auto"/>
          <w:spacing w:val="0"/>
          <w:sz w:val="32"/>
          <w:szCs w:val="32"/>
          <w:shd w:val="clear" w:fill="FFFFFF"/>
          <w:lang w:val="en-US" w:eastAsia="zh-CN"/>
        </w:rPr>
        <w:t>2020年1月3日</w:t>
      </w:r>
      <w:bookmarkStart w:id="0" w:name="_GoBack"/>
      <w:bookmarkEnd w:id="0"/>
    </w:p>
    <w:sectPr>
      <w:pgSz w:w="11906" w:h="16838"/>
      <w:pgMar w:top="1157"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F1539"/>
    <w:rsid w:val="05C73A9E"/>
    <w:rsid w:val="2DAD01B1"/>
    <w:rsid w:val="3CBF1539"/>
    <w:rsid w:val="400C0E6D"/>
    <w:rsid w:val="48EF0932"/>
    <w:rsid w:val="4947729C"/>
    <w:rsid w:val="4DEC3C98"/>
    <w:rsid w:val="57FE2C60"/>
    <w:rsid w:val="59C444B6"/>
    <w:rsid w:val="74362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2020-01-02T08:37:00Z</dcterms:created>
  <dc:creator>牛牛</dc:creator>
  <cp:lastModifiedBy>牛牛</cp:lastModifiedBy>
  <dcterms:modified xsi:type="dcterms:W3CDTF">2020-01-03T02:11:38Z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