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right="0" w:rightChars="0"/>
        <w:jc w:val="center"/>
        <w:textAlignment w:val="auto"/>
        <w:outlineLvl w:val="9"/>
        <w:rPr>
          <w:rFonts w:ascii="宋体" w:cs="宋体" w:eastAsia="宋体" w:hAnsi="宋体" w:hint="eastAsia"/>
          <w:b/>
          <w:bCs/>
          <w:sz w:val="44"/>
          <w:szCs w:val="44"/>
          <w:lang w:val="en-US" w:eastAsia="zh-CN"/>
        </w:rPr>
      </w:pPr>
      <w:r>
        <w:rPr>
          <w:rFonts w:ascii="宋体" w:cs="宋体" w:eastAsia="宋体" w:hAnsi="宋体" w:hint="eastAsia"/>
          <w:b/>
          <w:bCs/>
          <w:sz w:val="44"/>
          <w:szCs w:val="44"/>
          <w:lang w:val="en-US" w:eastAsia="zh-CN"/>
        </w:rPr>
        <w:t>深圳市生态环境局龙岗管理局2019年政府信息公开工作年度报告</w:t>
      </w: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fffff"/>
        <w:spacing w:before="0" w:beforeAutospacing="false" w:after="0" w:afterAutospacing="false"/>
        <w:ind w:right="0"/>
        <w:jc w:val="both"/>
        <w:rPr>
          <w:rFonts w:ascii="黑体" w:cs="黑体" w:eastAsia="黑体" w:hAnsi="黑体" w:hint="eastAsia"/>
          <w:b/>
          <w:i w:val="false"/>
          <w:caps w:val="false"/>
          <w:color w:val="333333"/>
          <w:spacing w:val="0"/>
          <w:sz w:val="24"/>
          <w:szCs w:val="24"/>
          <w:shd w:val="clear" w:color="auto" w:fill="ffffff"/>
        </w:rPr>
      </w:pP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fffff"/>
        <w:spacing w:before="0" w:beforeAutospacing="false" w:after="0" w:afterAutospacing="false"/>
        <w:ind w:right="0"/>
        <w:jc w:val="both"/>
        <w:rPr>
          <w:rFonts w:ascii="黑体" w:cs="黑体" w:eastAsia="黑体" w:hAnsi="黑体" w:hint="eastAsia"/>
          <w:i w:val="false"/>
          <w:caps w:val="false"/>
          <w:color w:val="333333"/>
          <w:spacing w:val="0"/>
          <w:sz w:val="32"/>
          <w:szCs w:val="32"/>
        </w:rPr>
      </w:pPr>
      <w:r>
        <w:rPr>
          <w:rFonts w:ascii="黑体" w:cs="黑体" w:eastAsia="黑体" w:hAnsi="黑体" w:hint="eastAsia"/>
          <w:b/>
          <w:i w:val="false"/>
          <w:caps w:val="false"/>
          <w:color w:val="333333"/>
          <w:spacing w:val="0"/>
          <w:sz w:val="32"/>
          <w:szCs w:val="32"/>
          <w:shd w:val="clear" w:color="auto" w:fill="ffffff"/>
        </w:rPr>
        <w:t>一、总体情况</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b/>
          <w:i w:val="false"/>
          <w:caps w:val="false"/>
          <w:color w:val="333333"/>
          <w:spacing w:val="0"/>
          <w:sz w:val="32"/>
          <w:szCs w:val="32"/>
          <w:shd w:val="clear" w:color="auto" w:fill="ffffff"/>
        </w:rPr>
      </w:pPr>
      <w:r>
        <w:rPr>
          <w:rFonts w:ascii="仿宋_GB2312" w:cs="仿宋_GB2312" w:eastAsia="仿宋_GB2312" w:hAnsi="仿宋_GB2312" w:hint="eastAsia"/>
          <w:kern w:val="2"/>
          <w:sz w:val="32"/>
          <w:szCs w:val="32"/>
          <w:lang w:val="en-US" w:bidi="ar-SA" w:eastAsia="zh-CN"/>
        </w:rPr>
        <w:t>根据《中华人民共和国政府信息公开条例》（以下简称《条例》）规定，特向社会公布我局2019年度信息公开工作年度报告。</w:t>
      </w:r>
      <w:r>
        <w:rPr>
          <w:rFonts w:ascii="仿宋_GB2312" w:cs="仿宋_GB2312" w:eastAsia="仿宋_GB2312" w:hAnsi="仿宋_GB2312" w:hint="default"/>
          <w:kern w:val="2"/>
          <w:sz w:val="32"/>
          <w:szCs w:val="32"/>
          <w:lang w:val="en-US" w:bidi="ar-SA" w:eastAsia="zh-CN"/>
        </w:rPr>
        <w:t>我局贯彻落实《条例》，主动</w:t>
      </w:r>
      <w:r>
        <w:rPr>
          <w:rFonts w:ascii="仿宋_GB2312" w:cs="仿宋_GB2312" w:eastAsia="仿宋_GB2312" w:hAnsi="仿宋_GB2312" w:hint="eastAsia"/>
          <w:kern w:val="2"/>
          <w:sz w:val="32"/>
          <w:szCs w:val="32"/>
          <w:lang w:val="en-US" w:bidi="ar-SA" w:eastAsia="zh-CN"/>
        </w:rPr>
        <w:t>公开包括机构设置、政策法规、规划计划、业务工作、监督检查、资金信息、工作动态、通知公告以及环境质量、建设项目审批、督办执法等重点领域信息。</w:t>
      </w:r>
      <w:r>
        <w:rPr>
          <w:rFonts w:ascii="仿宋_GB2312" w:cs="仿宋_GB2312" w:eastAsia="仿宋_GB2312" w:hAnsi="仿宋_GB2312" w:hint="default"/>
          <w:kern w:val="2"/>
          <w:sz w:val="32"/>
          <w:szCs w:val="32"/>
          <w:lang w:val="en-US" w:bidi="ar-SA" w:eastAsia="zh-CN"/>
        </w:rPr>
        <w:t>2019年，我局积极配合深圳市生态环境局每季度公开环境质量状况，及时公开龙岗区环境政策措施，环境治理工作进展情况，及时公布治理措施、进展、成效，主动回应市民和媒体关注的热点、难点环境问题。我局重点污染源环境监管信息定期在深圳市龙岗区重点污染源环境监管信息公开平台中进行发布，尤其是行政处罚信息做到了实时发布。此外，已公示环评报告表项目告知性备案已达3300余项。</w:t>
      </w:r>
      <w:r>
        <w:rPr>
          <w:rFonts w:ascii="仿宋_GB2312" w:cs="仿宋_GB2312" w:eastAsia="仿宋_GB2312" w:hAnsi="仿宋_GB2312" w:hint="eastAsia"/>
          <w:kern w:val="2"/>
          <w:sz w:val="32"/>
          <w:szCs w:val="32"/>
          <w:lang w:val="en-US" w:bidi="ar-SA" w:eastAsia="zh-CN"/>
        </w:rPr>
        <w:t>公众可通过</w:t>
      </w:r>
      <w:r>
        <w:rPr>
          <w:rFonts w:ascii="仿宋_GB2312" w:cs="仿宋_GB2312" w:eastAsia="仿宋_GB2312" w:hAnsi="仿宋_GB2312" w:hint="default"/>
          <w:kern w:val="2"/>
          <w:sz w:val="32"/>
          <w:szCs w:val="32"/>
          <w:lang w:val="en-US" w:bidi="ar-SA" w:eastAsia="zh-CN"/>
        </w:rPr>
        <w:t>深圳市生态环境局、</w:t>
      </w:r>
      <w:r>
        <w:rPr>
          <w:rFonts w:ascii="仿宋_GB2312" w:cs="仿宋_GB2312" w:eastAsia="仿宋_GB2312" w:hAnsi="仿宋_GB2312" w:hint="eastAsia"/>
          <w:kern w:val="2"/>
          <w:sz w:val="32"/>
          <w:szCs w:val="32"/>
          <w:lang w:val="en-US" w:bidi="ar-SA" w:eastAsia="zh-CN"/>
        </w:rPr>
        <w:t>龙岗政府在线或深圳市生态环境局龙岗管理局门户网站查阅我局发布的主动公开政府信息内容。数据统计时间从2019年1月1日至2019年12月31日。</w:t>
      </w: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fffff"/>
        <w:spacing w:before="0" w:beforeAutospacing="false" w:after="240" w:afterAutospacing="false"/>
        <w:ind w:right="0"/>
        <w:jc w:val="both"/>
        <w:rPr>
          <w:rFonts w:ascii="仿宋_GB2312" w:cs="仿宋_GB2312" w:eastAsia="仿宋_GB2312" w:hAnsi="仿宋_GB2312" w:hint="eastAsia"/>
          <w:b/>
          <w:i w:val="false"/>
          <w:caps w:val="false"/>
          <w:color w:val="333333"/>
          <w:spacing w:val="0"/>
          <w:sz w:val="32"/>
          <w:szCs w:val="32"/>
          <w:shd w:val="clear" w:color="auto" w:fill="ffffff"/>
        </w:rPr>
      </w:pP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fffff"/>
        <w:spacing w:before="0" w:beforeAutospacing="false" w:after="240" w:afterAutospacing="false"/>
        <w:ind w:right="0"/>
        <w:jc w:val="both"/>
        <w:rPr>
          <w:rFonts w:ascii="黑体" w:cs="黑体" w:eastAsia="黑体" w:hAnsi="黑体" w:hint="eastAsia"/>
          <w:i w:val="false"/>
          <w:caps w:val="false"/>
          <w:color w:val="333333"/>
          <w:spacing w:val="0"/>
          <w:sz w:val="32"/>
          <w:szCs w:val="32"/>
        </w:rPr>
      </w:pPr>
      <w:r>
        <w:rPr>
          <w:rFonts w:ascii="黑体" w:cs="黑体" w:eastAsia="黑体" w:hAnsi="黑体" w:hint="eastAsia"/>
          <w:b/>
          <w:i w:val="false"/>
          <w:caps w:val="false"/>
          <w:color w:val="333333"/>
          <w:spacing w:val="0"/>
          <w:sz w:val="32"/>
          <w:szCs w:val="32"/>
          <w:shd w:val="clear" w:color="auto" w:fill="ffffff"/>
        </w:rPr>
        <w:t>二、主动公开政府信息情况</w:t>
      </w:r>
    </w:p>
    <w:tbl>
      <w:tblPr>
        <w:tblStyle w:val="style105"/>
        <w:tblW w:w="9040" w:type="dxa"/>
        <w:jc w:val="center"/>
        <w:shd w:val="clear" w:color="auto" w:fill="auto"/>
        <w:tblLayout w:type="fixed"/>
        <w:tblCellMar>
          <w:top w:w="0" w:type="dxa"/>
          <w:left w:w="0" w:type="dxa"/>
          <w:bottom w:w="0" w:type="dxa"/>
          <w:right w:w="0" w:type="dxa"/>
        </w:tblCellMar>
      </w:tblPr>
      <w:tblGrid>
        <w:gridCol w:w="3376"/>
        <w:gridCol w:w="1902"/>
        <w:gridCol w:w="1540"/>
        <w:gridCol w:w="2222"/>
      </w:tblGrid>
      <w:tr>
        <w:trPr>
          <w:trHeight w:val="495" w:hRule="atLeast"/>
          <w:jc w:val="center"/>
        </w:trPr>
        <w:tc>
          <w:tcPr>
            <w:tcW w:w="9040" w:type="dxa"/>
            <w:gridSpan w:val="4"/>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第二十条第（一）项</w:t>
            </w:r>
          </w:p>
        </w:tc>
      </w:tr>
      <w:tr>
        <w:tblPrEx/>
        <w:trPr>
          <w:trHeight w:val="882" w:hRule="atLeast"/>
          <w:jc w:val="center"/>
        </w:trPr>
        <w:tc>
          <w:tcPr>
            <w:tcW w:w="337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信息内容</w:t>
            </w:r>
          </w:p>
        </w:tc>
        <w:tc>
          <w:tcPr>
            <w:tcW w:w="190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本年新</w:t>
            </w:r>
            <w:r>
              <w:rPr>
                <w:rFonts w:ascii="仿宋_GB2312" w:cs="仿宋_GB2312" w:eastAsia="仿宋_GB2312" w:hAnsi="仿宋_GB2312" w:hint="eastAsia"/>
                <w:color w:val="000000"/>
                <w:kern w:val="0"/>
                <w:sz w:val="32"/>
                <w:szCs w:val="32"/>
                <w:lang w:val="en-US" w:eastAsia="zh-CN"/>
              </w:rPr>
              <w:br/>
            </w:r>
            <w:r>
              <w:rPr>
                <w:rFonts w:ascii="仿宋_GB2312" w:cs="仿宋_GB2312" w:eastAsia="仿宋_GB2312" w:hAnsi="仿宋_GB2312" w:hint="eastAsia"/>
                <w:kern w:val="0"/>
                <w:sz w:val="32"/>
                <w:szCs w:val="32"/>
                <w:lang w:val="en-US" w:eastAsia="zh-CN"/>
              </w:rPr>
              <w:t>制作数量</w:t>
            </w:r>
          </w:p>
        </w:tc>
        <w:tc>
          <w:tcPr>
            <w:tcW w:w="154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本年新</w:t>
            </w:r>
            <w:r>
              <w:rPr>
                <w:rFonts w:ascii="仿宋_GB2312" w:cs="仿宋_GB2312" w:eastAsia="仿宋_GB2312" w:hAnsi="仿宋_GB2312" w:hint="eastAsia"/>
                <w:color w:val="000000"/>
                <w:kern w:val="0"/>
                <w:sz w:val="32"/>
                <w:szCs w:val="32"/>
                <w:lang w:val="en-US" w:eastAsia="zh-CN"/>
              </w:rPr>
              <w:br/>
            </w:r>
            <w:r>
              <w:rPr>
                <w:rFonts w:ascii="仿宋_GB2312" w:cs="仿宋_GB2312" w:eastAsia="仿宋_GB2312" w:hAnsi="仿宋_GB2312" w:hint="eastAsia"/>
                <w:kern w:val="0"/>
                <w:sz w:val="32"/>
                <w:szCs w:val="32"/>
                <w:lang w:val="en-US" w:eastAsia="zh-CN"/>
              </w:rPr>
              <w:t>公开数量</w:t>
            </w:r>
          </w:p>
        </w:tc>
        <w:tc>
          <w:tcPr>
            <w:tcW w:w="22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对外公开总数量</w:t>
            </w:r>
          </w:p>
        </w:tc>
      </w:tr>
      <w:tr>
        <w:tblPrEx/>
        <w:trPr>
          <w:trHeight w:val="523" w:hRule="atLeast"/>
          <w:jc w:val="center"/>
        </w:trPr>
        <w:tc>
          <w:tcPr>
            <w:tcW w:w="337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规章</w:t>
            </w:r>
          </w:p>
        </w:tc>
        <w:tc>
          <w:tcPr>
            <w:tcW w:w="190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color w:val="000000"/>
                <w:kern w:val="0"/>
                <w:sz w:val="32"/>
                <w:szCs w:val="32"/>
                <w:lang w:val="en-US" w:eastAsia="zh-CN"/>
              </w:rPr>
              <w:t>0</w:t>
            </w:r>
          </w:p>
        </w:tc>
        <w:tc>
          <w:tcPr>
            <w:tcW w:w="154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color w:val="000000"/>
                <w:kern w:val="0"/>
                <w:sz w:val="32"/>
                <w:szCs w:val="32"/>
                <w:lang w:val="en-US" w:eastAsia="zh-CN"/>
              </w:rPr>
              <w:t>0</w:t>
            </w:r>
          </w:p>
        </w:tc>
        <w:tc>
          <w:tcPr>
            <w:tcW w:w="22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0</w:t>
            </w:r>
          </w:p>
        </w:tc>
      </w:tr>
      <w:tr>
        <w:tblPrEx/>
        <w:trPr>
          <w:trHeight w:val="471" w:hRule="atLeast"/>
          <w:jc w:val="center"/>
        </w:trPr>
        <w:tc>
          <w:tcPr>
            <w:tcW w:w="337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规范性文件</w:t>
            </w:r>
          </w:p>
        </w:tc>
        <w:tc>
          <w:tcPr>
            <w:tcW w:w="190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color w:val="000000"/>
                <w:kern w:val="0"/>
                <w:sz w:val="32"/>
                <w:szCs w:val="32"/>
                <w:lang w:val="en-US" w:eastAsia="zh-CN"/>
              </w:rPr>
              <w:t>0</w:t>
            </w:r>
          </w:p>
        </w:tc>
        <w:tc>
          <w:tcPr>
            <w:tcW w:w="154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color w:val="000000"/>
                <w:kern w:val="0"/>
                <w:sz w:val="32"/>
                <w:szCs w:val="32"/>
                <w:lang w:val="en-US" w:eastAsia="zh-CN"/>
              </w:rPr>
              <w:t>0</w:t>
            </w:r>
          </w:p>
        </w:tc>
        <w:tc>
          <w:tcPr>
            <w:tcW w:w="22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color w:val="000000"/>
                <w:kern w:val="0"/>
                <w:sz w:val="32"/>
                <w:szCs w:val="32"/>
                <w:lang w:val="en-US" w:eastAsia="zh-CN"/>
              </w:rPr>
              <w:t>0</w:t>
            </w:r>
          </w:p>
        </w:tc>
      </w:tr>
      <w:tr>
        <w:tblPrEx/>
        <w:trPr>
          <w:trHeight w:val="480" w:hRule="atLeast"/>
          <w:jc w:val="center"/>
        </w:trPr>
        <w:tc>
          <w:tcPr>
            <w:tcW w:w="9040"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第二十条第（五）项</w:t>
            </w:r>
          </w:p>
        </w:tc>
      </w:tr>
      <w:tr>
        <w:tblPrEx/>
        <w:trPr>
          <w:trHeight w:val="634" w:hRule="atLeast"/>
          <w:jc w:val="center"/>
        </w:trPr>
        <w:tc>
          <w:tcPr>
            <w:tcW w:w="337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信息内容</w:t>
            </w:r>
          </w:p>
        </w:tc>
        <w:tc>
          <w:tcPr>
            <w:tcW w:w="190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上一年项目数量</w:t>
            </w:r>
          </w:p>
        </w:tc>
        <w:tc>
          <w:tcPr>
            <w:tcW w:w="154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本年增/减</w:t>
            </w:r>
          </w:p>
        </w:tc>
        <w:tc>
          <w:tcPr>
            <w:tcW w:w="22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处理决定数量</w:t>
            </w:r>
          </w:p>
        </w:tc>
      </w:tr>
      <w:tr>
        <w:tblPrEx/>
        <w:trPr>
          <w:trHeight w:val="528" w:hRule="atLeast"/>
          <w:jc w:val="center"/>
        </w:trPr>
        <w:tc>
          <w:tcPr>
            <w:tcW w:w="337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行政许可</w:t>
            </w:r>
          </w:p>
        </w:tc>
        <w:tc>
          <w:tcPr>
            <w:tcW w:w="190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color w:val="000000"/>
                <w:kern w:val="0"/>
                <w:sz w:val="32"/>
                <w:szCs w:val="32"/>
                <w:lang w:val="en-US" w:eastAsia="zh-CN"/>
              </w:rPr>
              <w:t>12</w:t>
            </w:r>
          </w:p>
        </w:tc>
        <w:tc>
          <w:tcPr>
            <w:tcW w:w="154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0</w:t>
            </w:r>
          </w:p>
        </w:tc>
        <w:tc>
          <w:tcPr>
            <w:tcW w:w="22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default"/>
                <w:sz w:val="32"/>
                <w:szCs w:val="32"/>
                <w:lang w:val="en-US"/>
              </w:rPr>
            </w:pPr>
            <w:r>
              <w:rPr>
                <w:rFonts w:ascii="仿宋_GB2312" w:cs="仿宋_GB2312" w:eastAsia="仿宋_GB2312" w:hAnsi="仿宋_GB2312" w:hint="eastAsia"/>
                <w:color w:val="000000"/>
                <w:kern w:val="0"/>
                <w:sz w:val="32"/>
                <w:szCs w:val="32"/>
                <w:lang w:val="en-US" w:eastAsia="zh-CN"/>
              </w:rPr>
              <w:t>1811</w:t>
            </w:r>
          </w:p>
        </w:tc>
      </w:tr>
      <w:tr>
        <w:tblPrEx/>
        <w:trPr>
          <w:trHeight w:val="550" w:hRule="atLeast"/>
          <w:jc w:val="center"/>
        </w:trPr>
        <w:tc>
          <w:tcPr>
            <w:tcW w:w="337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其他对外管理服务事项</w:t>
            </w:r>
          </w:p>
        </w:tc>
        <w:tc>
          <w:tcPr>
            <w:tcW w:w="190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color w:val="000000"/>
                <w:kern w:val="0"/>
                <w:sz w:val="32"/>
                <w:szCs w:val="32"/>
                <w:lang w:val="en-US" w:eastAsia="zh-CN"/>
              </w:rPr>
              <w:t>0</w:t>
            </w:r>
          </w:p>
        </w:tc>
        <w:tc>
          <w:tcPr>
            <w:tcW w:w="154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default"/>
                <w:sz w:val="32"/>
                <w:szCs w:val="32"/>
                <w:lang w:val="en-US" w:eastAsia="zh-CN"/>
              </w:rPr>
            </w:pPr>
            <w:r>
              <w:rPr>
                <w:rFonts w:ascii="仿宋_GB2312" w:cs="仿宋_GB2312" w:eastAsia="仿宋_GB2312" w:hAnsi="仿宋_GB2312" w:hint="eastAsia"/>
                <w:sz w:val="32"/>
                <w:szCs w:val="32"/>
                <w:lang w:val="en-US" w:eastAsia="zh-CN"/>
              </w:rPr>
              <w:t>+1</w:t>
            </w:r>
          </w:p>
        </w:tc>
        <w:tc>
          <w:tcPr>
            <w:tcW w:w="22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0</w:t>
            </w:r>
          </w:p>
        </w:tc>
      </w:tr>
      <w:tr>
        <w:tblPrEx/>
        <w:trPr>
          <w:trHeight w:val="406" w:hRule="atLeast"/>
          <w:jc w:val="center"/>
        </w:trPr>
        <w:tc>
          <w:tcPr>
            <w:tcW w:w="9040"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第二十条第（六）项</w:t>
            </w:r>
          </w:p>
        </w:tc>
      </w:tr>
      <w:tr>
        <w:tblPrEx/>
        <w:trPr>
          <w:trHeight w:val="634" w:hRule="atLeast"/>
          <w:jc w:val="center"/>
        </w:trPr>
        <w:tc>
          <w:tcPr>
            <w:tcW w:w="337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信息内容</w:t>
            </w:r>
          </w:p>
        </w:tc>
        <w:tc>
          <w:tcPr>
            <w:tcW w:w="190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上一年项目数量</w:t>
            </w:r>
          </w:p>
        </w:tc>
        <w:tc>
          <w:tcPr>
            <w:tcW w:w="154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本年增/减</w:t>
            </w:r>
          </w:p>
        </w:tc>
        <w:tc>
          <w:tcPr>
            <w:tcW w:w="22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处理决定数量</w:t>
            </w:r>
          </w:p>
        </w:tc>
      </w:tr>
      <w:tr>
        <w:tblPrEx/>
        <w:trPr>
          <w:trHeight w:val="590" w:hRule="atLeast"/>
          <w:jc w:val="center"/>
        </w:trPr>
        <w:tc>
          <w:tcPr>
            <w:tcW w:w="337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行政处罚</w:t>
            </w:r>
          </w:p>
        </w:tc>
        <w:tc>
          <w:tcPr>
            <w:tcW w:w="190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color w:val="000000"/>
                <w:kern w:val="0"/>
                <w:sz w:val="32"/>
                <w:szCs w:val="32"/>
                <w:lang w:val="en-US" w:eastAsia="zh-CN"/>
              </w:rPr>
              <w:t>2</w:t>
            </w:r>
          </w:p>
        </w:tc>
        <w:tc>
          <w:tcPr>
            <w:tcW w:w="154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color w:val="000000"/>
                <w:kern w:val="0"/>
                <w:sz w:val="32"/>
                <w:szCs w:val="32"/>
                <w:lang w:val="en-US" w:eastAsia="zh-CN"/>
              </w:rPr>
              <w:t>0</w:t>
            </w:r>
          </w:p>
        </w:tc>
        <w:tc>
          <w:tcPr>
            <w:tcW w:w="22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default"/>
                <w:sz w:val="32"/>
                <w:szCs w:val="32"/>
                <w:lang w:val="en-US"/>
              </w:rPr>
            </w:pPr>
            <w:r>
              <w:rPr>
                <w:rFonts w:ascii="仿宋_GB2312" w:cs="仿宋_GB2312" w:eastAsia="仿宋_GB2312" w:hAnsi="仿宋_GB2312" w:hint="eastAsia"/>
                <w:color w:val="000000"/>
                <w:kern w:val="0"/>
                <w:sz w:val="32"/>
                <w:szCs w:val="32"/>
                <w:lang w:val="en-US" w:eastAsia="zh-CN"/>
              </w:rPr>
              <w:t>611</w:t>
            </w:r>
          </w:p>
        </w:tc>
      </w:tr>
      <w:tr>
        <w:tblPrEx/>
        <w:trPr>
          <w:trHeight w:val="623" w:hRule="atLeast"/>
          <w:jc w:val="center"/>
        </w:trPr>
        <w:tc>
          <w:tcPr>
            <w:tcW w:w="337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行政强制</w:t>
            </w:r>
          </w:p>
        </w:tc>
        <w:tc>
          <w:tcPr>
            <w:tcW w:w="190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color w:val="000000"/>
                <w:kern w:val="0"/>
                <w:sz w:val="32"/>
                <w:szCs w:val="32"/>
                <w:lang w:val="en-US" w:eastAsia="zh-CN"/>
              </w:rPr>
              <w:t>1</w:t>
            </w:r>
          </w:p>
        </w:tc>
        <w:tc>
          <w:tcPr>
            <w:tcW w:w="154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kern w:val="0"/>
                <w:sz w:val="32"/>
                <w:szCs w:val="32"/>
                <w:lang w:val="en-US" w:eastAsia="zh-CN"/>
              </w:rPr>
            </w:pPr>
            <w:r>
              <w:rPr>
                <w:rFonts w:ascii="仿宋_GB2312" w:cs="仿宋_GB2312" w:eastAsia="仿宋_GB2312" w:hAnsi="仿宋_GB2312" w:hint="eastAsia"/>
                <w:color w:val="000000"/>
                <w:kern w:val="0"/>
                <w:sz w:val="32"/>
                <w:szCs w:val="32"/>
                <w:lang w:val="en-US" w:eastAsia="zh-CN"/>
              </w:rPr>
              <w:t>0</w:t>
            </w:r>
          </w:p>
        </w:tc>
        <w:tc>
          <w:tcPr>
            <w:tcW w:w="22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default"/>
                <w:sz w:val="32"/>
                <w:szCs w:val="32"/>
                <w:lang w:val="en-US" w:eastAsia="zh-CN"/>
              </w:rPr>
            </w:pPr>
            <w:r>
              <w:rPr>
                <w:rFonts w:ascii="仿宋_GB2312" w:cs="仿宋_GB2312" w:eastAsia="仿宋_GB2312" w:hAnsi="仿宋_GB2312" w:hint="eastAsia"/>
                <w:sz w:val="32"/>
                <w:szCs w:val="32"/>
                <w:lang w:val="en-US" w:eastAsia="zh-CN"/>
              </w:rPr>
              <w:t>49</w:t>
            </w:r>
            <w:bookmarkStart w:id="0" w:name="_GoBack"/>
            <w:bookmarkEnd w:id="0"/>
          </w:p>
        </w:tc>
      </w:tr>
      <w:tr>
        <w:tblPrEx/>
        <w:trPr>
          <w:trHeight w:val="474" w:hRule="atLeast"/>
          <w:jc w:val="center"/>
        </w:trPr>
        <w:tc>
          <w:tcPr>
            <w:tcW w:w="9040"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第二十条第（八）项</w:t>
            </w:r>
          </w:p>
        </w:tc>
      </w:tr>
      <w:tr>
        <w:tblPrEx/>
        <w:trPr>
          <w:trHeight w:val="270" w:hRule="atLeast"/>
          <w:jc w:val="center"/>
        </w:trPr>
        <w:tc>
          <w:tcPr>
            <w:tcW w:w="337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信息内容</w:t>
            </w:r>
          </w:p>
        </w:tc>
        <w:tc>
          <w:tcPr>
            <w:tcW w:w="190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上一年项目数量</w:t>
            </w:r>
          </w:p>
        </w:tc>
        <w:tc>
          <w:tcPr>
            <w:tcW w:w="3762" w:type="dxa"/>
            <w:gridSpan w:val="2"/>
            <w:tcBorders>
              <w:top w:val="single" w:sz="8" w:space="0" w:color="auto"/>
              <w:left w:val="nil"/>
              <w:bottom w:val="single" w:sz="8" w:space="0" w:color="auto"/>
              <w:right w:val="single" w:sz="8" w:space="0" w:color="000000"/>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本年增/减</w:t>
            </w:r>
          </w:p>
        </w:tc>
      </w:tr>
      <w:tr>
        <w:tblPrEx/>
        <w:trPr>
          <w:trHeight w:val="551" w:hRule="atLeast"/>
          <w:jc w:val="center"/>
        </w:trPr>
        <w:tc>
          <w:tcPr>
            <w:tcW w:w="337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行政事业性收费</w:t>
            </w:r>
          </w:p>
        </w:tc>
        <w:tc>
          <w:tcPr>
            <w:tcW w:w="190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color w:val="000000"/>
                <w:kern w:val="0"/>
                <w:sz w:val="32"/>
                <w:szCs w:val="32"/>
                <w:lang w:val="en-US" w:eastAsia="zh-CN"/>
              </w:rPr>
              <w:t>0</w:t>
            </w:r>
          </w:p>
        </w:tc>
        <w:tc>
          <w:tcPr>
            <w:tcW w:w="3762" w:type="dxa"/>
            <w:gridSpan w:val="2"/>
            <w:tcBorders>
              <w:top w:val="nil"/>
              <w:left w:val="nil"/>
              <w:bottom w:val="single" w:sz="8" w:space="0" w:color="auto"/>
              <w:right w:val="single" w:sz="8" w:space="0" w:color="000000"/>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0</w:t>
            </w:r>
          </w:p>
        </w:tc>
      </w:tr>
      <w:tr>
        <w:tblPrEx/>
        <w:trPr>
          <w:trHeight w:val="476" w:hRule="atLeast"/>
          <w:jc w:val="center"/>
        </w:trPr>
        <w:tc>
          <w:tcPr>
            <w:tcW w:w="9040"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第二十条第（九）项</w:t>
            </w:r>
          </w:p>
        </w:tc>
      </w:tr>
      <w:tr>
        <w:tblPrEx/>
        <w:trPr>
          <w:trHeight w:val="585" w:hRule="atLeast"/>
          <w:jc w:val="center"/>
        </w:trPr>
        <w:tc>
          <w:tcPr>
            <w:tcW w:w="337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信息内容</w:t>
            </w:r>
          </w:p>
        </w:tc>
        <w:tc>
          <w:tcPr>
            <w:tcW w:w="190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采购项目数量</w:t>
            </w:r>
          </w:p>
        </w:tc>
        <w:tc>
          <w:tcPr>
            <w:tcW w:w="3762" w:type="dxa"/>
            <w:gridSpan w:val="2"/>
            <w:tcBorders>
              <w:top w:val="single" w:sz="8" w:space="0" w:color="auto"/>
              <w:left w:val="nil"/>
              <w:bottom w:val="single" w:sz="8" w:space="0" w:color="auto"/>
              <w:right w:val="single" w:sz="8" w:space="0" w:color="000000"/>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采购总金额</w:t>
            </w:r>
          </w:p>
        </w:tc>
      </w:tr>
      <w:tr>
        <w:tblPrEx/>
        <w:trPr>
          <w:trHeight w:val="539" w:hRule="atLeast"/>
          <w:jc w:val="center"/>
        </w:trPr>
        <w:tc>
          <w:tcPr>
            <w:tcW w:w="337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color w:val="000000"/>
                <w:kern w:val="0"/>
                <w:sz w:val="32"/>
                <w:szCs w:val="32"/>
                <w:lang w:val="en-US" w:eastAsia="zh-CN"/>
              </w:rPr>
              <w:t>政府集中采购</w:t>
            </w:r>
          </w:p>
        </w:tc>
        <w:tc>
          <w:tcPr>
            <w:tcW w:w="190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leftChars="0" w:right="0" w:rightChars="0"/>
              <w:jc w:val="center"/>
              <w:rPr>
                <w:rFonts w:ascii="仿宋_GB2312" w:cs="仿宋_GB2312" w:eastAsia="仿宋_GB2312" w:hAnsi="仿宋_GB2312" w:hint="eastAsia"/>
                <w:kern w:val="2"/>
                <w:sz w:val="32"/>
                <w:szCs w:val="32"/>
                <w:lang w:val="en-US" w:bidi="ar-SA" w:eastAsia="zh-CN"/>
              </w:rPr>
            </w:pPr>
            <w:r>
              <w:rPr>
                <w:rFonts w:ascii="仿宋_GB2312" w:cs="仿宋_GB2312" w:eastAsia="仿宋_GB2312" w:hAnsi="仿宋_GB2312" w:hint="eastAsia"/>
                <w:color w:val="000000"/>
                <w:kern w:val="0"/>
                <w:sz w:val="32"/>
                <w:szCs w:val="32"/>
                <w:lang w:val="en-US" w:eastAsia="zh-CN"/>
              </w:rPr>
              <w:t>17</w:t>
            </w:r>
          </w:p>
        </w:tc>
        <w:tc>
          <w:tcPr>
            <w:tcW w:w="3762" w:type="dxa"/>
            <w:gridSpan w:val="2"/>
            <w:tcBorders>
              <w:top w:val="nil"/>
              <w:left w:val="nil"/>
              <w:bottom w:val="single" w:sz="8" w:space="0" w:color="auto"/>
              <w:right w:val="single" w:sz="8" w:space="0" w:color="000000"/>
            </w:tcBorders>
            <w:shd w:val="clear" w:color="auto" w:fill="auto"/>
            <w:tcMar>
              <w:left w:w="108" w:type="dxa"/>
              <w:right w:w="108" w:type="dxa"/>
            </w:tcMar>
            <w:vAlign w:val="center"/>
          </w:tcPr>
          <w:p>
            <w:pPr>
              <w:pStyle w:val="style0"/>
              <w:jc w:val="center"/>
              <w:rPr>
                <w:rFonts w:ascii="仿宋_GB2312" w:cs="仿宋_GB2312" w:eastAsia="仿宋_GB2312" w:hAnsi="仿宋_GB2312" w:hint="eastAsia"/>
                <w:kern w:val="2"/>
                <w:sz w:val="32"/>
                <w:szCs w:val="32"/>
                <w:lang w:val="en-US" w:bidi="ar-SA" w:eastAsia="zh-CN"/>
              </w:rPr>
            </w:pPr>
            <w:r>
              <w:rPr>
                <w:rFonts w:ascii="仿宋_GB2312" w:cs="仿宋_GB2312" w:eastAsia="仿宋_GB2312" w:hAnsi="仿宋_GB2312" w:hint="eastAsia"/>
                <w:sz w:val="32"/>
                <w:szCs w:val="32"/>
                <w:lang w:val="en-US" w:eastAsia="zh-CN"/>
              </w:rPr>
              <w:t>5206.04万元</w:t>
            </w:r>
          </w:p>
        </w:tc>
      </w:tr>
    </w:tbl>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fffff"/>
        <w:spacing w:before="0" w:beforeAutospacing="false" w:after="0" w:afterAutospacing="false"/>
        <w:ind w:left="0" w:right="0" w:firstLine="420"/>
        <w:jc w:val="both"/>
        <w:rPr>
          <w:rFonts w:ascii="黑体" w:cs="黑体" w:eastAsia="黑体" w:hAnsi="黑体" w:hint="eastAsia"/>
          <w:i w:val="false"/>
          <w:caps w:val="false"/>
          <w:color w:val="333333"/>
          <w:spacing w:val="0"/>
          <w:sz w:val="32"/>
          <w:szCs w:val="32"/>
        </w:rPr>
      </w:pP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fffff"/>
        <w:spacing w:before="0" w:beforeAutospacing="false" w:after="240" w:afterAutospacing="false"/>
        <w:ind w:left="0" w:right="0" w:firstLine="420"/>
        <w:jc w:val="both"/>
        <w:rPr>
          <w:rFonts w:ascii="黑体" w:cs="黑体" w:eastAsia="黑体" w:hAnsi="黑体" w:hint="eastAsia"/>
          <w:i w:val="false"/>
          <w:caps w:val="false"/>
          <w:color w:val="333333"/>
          <w:spacing w:val="0"/>
          <w:sz w:val="32"/>
          <w:szCs w:val="32"/>
        </w:rPr>
      </w:pPr>
      <w:r>
        <w:rPr>
          <w:rFonts w:ascii="黑体" w:cs="黑体" w:eastAsia="黑体" w:hAnsi="黑体" w:hint="eastAsia"/>
          <w:b/>
          <w:i w:val="false"/>
          <w:caps w:val="false"/>
          <w:color w:val="333333"/>
          <w:spacing w:val="0"/>
          <w:sz w:val="32"/>
          <w:szCs w:val="32"/>
          <w:shd w:val="clear" w:color="auto" w:fill="ffffff"/>
        </w:rPr>
        <w:t>三、收到和处理政府信息公开申请情况</w:t>
      </w:r>
    </w:p>
    <w:tbl>
      <w:tblPr>
        <w:tblStyle w:val="style105"/>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auto"/>
        <w:tblLayout w:type="fixed"/>
        <w:tblCellMar>
          <w:top w:w="0" w:type="dxa"/>
          <w:left w:w="0" w:type="dxa"/>
          <w:bottom w:w="0" w:type="dxa"/>
          <w:right w:w="0" w:type="dxa"/>
        </w:tblCellMar>
      </w:tblPr>
      <w:tblGrid>
        <w:gridCol w:w="618"/>
        <w:gridCol w:w="865"/>
        <w:gridCol w:w="2120"/>
        <w:gridCol w:w="825"/>
        <w:gridCol w:w="764"/>
        <w:gridCol w:w="765"/>
        <w:gridCol w:w="826"/>
        <w:gridCol w:w="989"/>
        <w:gridCol w:w="722"/>
        <w:gridCol w:w="577"/>
      </w:tblGrid>
      <w:tr>
        <w:trPr>
          <w:jc w:val="center"/>
        </w:trPr>
        <w:tc>
          <w:tcPr>
            <w:tcW w:w="3603" w:type="dxa"/>
            <w:gridSpan w:val="3"/>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（本列数据的勾稽关系为：第一项加第二项之和，等于第三项加第四项之和）</w:t>
            </w:r>
          </w:p>
        </w:tc>
        <w:tc>
          <w:tcPr>
            <w:tcW w:w="5468"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申请人情况</w:t>
            </w:r>
          </w:p>
        </w:tc>
      </w:tr>
      <w:tr>
        <w:tblPrEx/>
        <w:trPr>
          <w:jc w:val="center"/>
        </w:trPr>
        <w:tc>
          <w:tcPr>
            <w:tcW w:w="3603" w:type="dxa"/>
            <w:gridSpan w:val="3"/>
            <w:vMerge w:val="continu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25"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自然人</w:t>
            </w:r>
          </w:p>
        </w:tc>
        <w:tc>
          <w:tcPr>
            <w:tcW w:w="4066"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法人或其他组织</w:t>
            </w:r>
          </w:p>
        </w:tc>
        <w:tc>
          <w:tcPr>
            <w:tcW w:w="577"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总计</w:t>
            </w:r>
          </w:p>
        </w:tc>
      </w:tr>
      <w:tr>
        <w:tblPrEx/>
        <w:trPr>
          <w:jc w:val="center"/>
        </w:trPr>
        <w:tc>
          <w:tcPr>
            <w:tcW w:w="3603" w:type="dxa"/>
            <w:gridSpan w:val="3"/>
            <w:vMerge w:val="continu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25" w:type="dxa"/>
            <w:vMerge w:val="continue"/>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商业企业</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科研机构</w:t>
            </w:r>
          </w:p>
        </w:tc>
        <w:tc>
          <w:tcPr>
            <w:tcW w:w="82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社会公益组织</w:t>
            </w:r>
          </w:p>
        </w:tc>
        <w:tc>
          <w:tcPr>
            <w:tcW w:w="989"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法律服务机构</w:t>
            </w:r>
          </w:p>
        </w:tc>
        <w:tc>
          <w:tcPr>
            <w:tcW w:w="72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其他</w:t>
            </w:r>
          </w:p>
        </w:tc>
        <w:tc>
          <w:tcPr>
            <w:tcW w:w="577" w:type="dxa"/>
            <w:vMerge w:val="continu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r>
      <w:tr>
        <w:tblPrEx/>
        <w:trPr>
          <w:jc w:val="center"/>
        </w:trPr>
        <w:tc>
          <w:tcPr>
            <w:tcW w:w="3603"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一、本年新收政府信息公开申请数量</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r>
      <w:tr>
        <w:tblPrEx/>
        <w:trPr>
          <w:jc w:val="center"/>
        </w:trPr>
        <w:tc>
          <w:tcPr>
            <w:tcW w:w="3603"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二、上年结转政府信息公开申请数量</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restart"/>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三、本年度办理结果</w:t>
            </w:r>
          </w:p>
        </w:tc>
        <w:tc>
          <w:tcPr>
            <w:tcW w:w="298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（一）予以公开</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57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298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（二）部分公开（区分处理的，只计这一情形，不计其他情形）</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65"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（三）不予公开</w:t>
            </w:r>
          </w:p>
        </w:tc>
        <w:tc>
          <w:tcPr>
            <w:tcW w:w="212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1.属于国家秘密</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57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65" w:type="dxa"/>
            <w:vMerge w:val="continue"/>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212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2.其他法律行政法规禁止公开</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65" w:type="dxa"/>
            <w:vMerge w:val="continue"/>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212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3.危及“三安全一稳定”</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65" w:type="dxa"/>
            <w:vMerge w:val="continue"/>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212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4.保护第三方合法权益</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65" w:type="dxa"/>
            <w:vMerge w:val="continue"/>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212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5.属于三类内部事务信息</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65" w:type="dxa"/>
            <w:vMerge w:val="continue"/>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212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6.属于四类过程性信息</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65" w:type="dxa"/>
            <w:vMerge w:val="continue"/>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212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7.属于行政执法案卷</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65" w:type="dxa"/>
            <w:vMerge w:val="continue"/>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212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8.属于行政查询事项</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65"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（四）无法提供</w:t>
            </w:r>
          </w:p>
        </w:tc>
        <w:tc>
          <w:tcPr>
            <w:tcW w:w="212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1.本机关不掌握相关政府信息</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65" w:type="dxa"/>
            <w:vMerge w:val="continue"/>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212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2.没有现成信息需要另行制作</w:t>
            </w:r>
          </w:p>
        </w:tc>
        <w:tc>
          <w:tcPr>
            <w:tcW w:w="82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826"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989"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22"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577"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nil"/>
              <w:left w:val="single" w:sz="4" w:space="0" w:color="auto"/>
              <w:bottom w:val="single" w:sz="4"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65" w:type="dxa"/>
            <w:vMerge w:val="continue"/>
            <w:tcBorders>
              <w:top w:val="nil"/>
              <w:left w:val="nil"/>
              <w:bottom w:val="single" w:sz="4"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2120" w:type="dxa"/>
            <w:tcBorders>
              <w:top w:val="nil"/>
              <w:left w:val="nil"/>
              <w:bottom w:val="single" w:sz="4"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3.补正后申请内容仍不明确</w:t>
            </w:r>
          </w:p>
        </w:tc>
        <w:tc>
          <w:tcPr>
            <w:tcW w:w="825" w:type="dxa"/>
            <w:tcBorders>
              <w:top w:val="nil"/>
              <w:left w:val="nil"/>
              <w:bottom w:val="single" w:sz="4"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nil"/>
              <w:left w:val="nil"/>
              <w:bottom w:val="single" w:sz="4"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nil"/>
              <w:left w:val="nil"/>
              <w:bottom w:val="single" w:sz="4"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826" w:type="dxa"/>
            <w:tcBorders>
              <w:top w:val="nil"/>
              <w:left w:val="nil"/>
              <w:bottom w:val="single" w:sz="4"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989" w:type="dxa"/>
            <w:tcBorders>
              <w:top w:val="nil"/>
              <w:left w:val="nil"/>
              <w:bottom w:val="single" w:sz="4"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22" w:type="dxa"/>
            <w:tcBorders>
              <w:top w:val="nil"/>
              <w:left w:val="nil"/>
              <w:bottom w:val="single" w:sz="4"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577" w:type="dxa"/>
            <w:tcBorders>
              <w:top w:val="nil"/>
              <w:left w:val="nil"/>
              <w:bottom w:val="single" w:sz="4"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65"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（五）不予处理</w:t>
            </w:r>
          </w:p>
        </w:tc>
        <w:tc>
          <w:tcPr>
            <w:tcW w:w="212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1.信访举报投诉类申请</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65" w:type="dxa"/>
            <w:vMerge w:val="continu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212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2.重复申请</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65" w:type="dxa"/>
            <w:vMerge w:val="continu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212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3.要求提供公开出版物</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65" w:type="dxa"/>
            <w:vMerge w:val="continu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212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4.无正当理由大量反复申请</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865" w:type="dxa"/>
            <w:vMerge w:val="continu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212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5.要求行政机关确认或重新出具已获取信息</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2985"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（六）其他处理</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r>
      <w:tr>
        <w:tblPrEx/>
        <w:trPr>
          <w:jc w:val="center"/>
        </w:trPr>
        <w:tc>
          <w:tcPr>
            <w:tcW w:w="618" w:type="dxa"/>
            <w:vMerge w:val="continu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sz w:val="32"/>
                <w:szCs w:val="32"/>
              </w:rPr>
            </w:pPr>
          </w:p>
        </w:tc>
        <w:tc>
          <w:tcPr>
            <w:tcW w:w="2985"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（七）总计</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r>
      <w:tr>
        <w:tblPrEx/>
        <w:trPr>
          <w:jc w:val="center"/>
        </w:trPr>
        <w:tc>
          <w:tcPr>
            <w:tcW w:w="3603"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left"/>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四、结转下年度继续办理</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7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82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rPr>
            </w:pPr>
            <w:r>
              <w:rPr>
                <w:rFonts w:ascii="仿宋_GB2312" w:cs="仿宋_GB2312" w:eastAsia="仿宋_GB2312" w:hAnsi="仿宋_GB2312" w:hint="eastAsia"/>
                <w:kern w:val="0"/>
                <w:sz w:val="32"/>
                <w:szCs w:val="32"/>
                <w:lang w:val="en-US" w:eastAsia="zh-CN"/>
              </w:rPr>
              <w:t>0</w:t>
            </w:r>
          </w:p>
        </w:tc>
        <w:tc>
          <w:tcPr>
            <w:tcW w:w="7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sz w:val="32"/>
                <w:szCs w:val="32"/>
                <w:lang w:val="en-US"/>
              </w:rPr>
            </w:pPr>
            <w:r>
              <w:rPr>
                <w:rFonts w:ascii="仿宋_GB2312" w:cs="仿宋_GB2312" w:eastAsia="仿宋_GB2312" w:hAnsi="仿宋_GB2312" w:hint="eastAsia"/>
                <w:kern w:val="0"/>
                <w:sz w:val="32"/>
                <w:szCs w:val="32"/>
                <w:lang w:val="en-US" w:eastAsia="zh-CN"/>
              </w:rPr>
              <w:t>0</w:t>
            </w:r>
          </w:p>
        </w:tc>
        <w:tc>
          <w:tcPr>
            <w:tcW w:w="5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pStyle w:val="style0"/>
              <w:jc w:val="center"/>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0</w:t>
            </w:r>
          </w:p>
        </w:tc>
      </w:tr>
    </w:tbl>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fffff"/>
        <w:spacing w:before="0" w:beforeAutospacing="false" w:after="0" w:afterAutospacing="false"/>
        <w:ind w:left="0" w:right="0" w:firstLine="420"/>
        <w:jc w:val="both"/>
        <w:rPr>
          <w:rFonts w:ascii="仿宋_GB2312" w:cs="仿宋_GB2312" w:eastAsia="仿宋_GB2312" w:hAnsi="仿宋_GB2312" w:hint="eastAsia"/>
          <w:i w:val="false"/>
          <w:caps w:val="false"/>
          <w:color w:val="333333"/>
          <w:spacing w:val="0"/>
          <w:sz w:val="32"/>
          <w:szCs w:val="32"/>
        </w:rPr>
      </w:pP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fffff"/>
        <w:spacing w:before="0" w:beforeAutospacing="false" w:after="0" w:afterAutospacing="false"/>
        <w:ind w:left="0" w:right="0" w:firstLine="420"/>
        <w:jc w:val="both"/>
        <w:rPr>
          <w:rFonts w:ascii="黑体" w:cs="黑体" w:eastAsia="黑体" w:hAnsi="黑体" w:hint="eastAsia"/>
          <w:i w:val="false"/>
          <w:caps w:val="false"/>
          <w:color w:val="333333"/>
          <w:spacing w:val="0"/>
          <w:sz w:val="32"/>
          <w:szCs w:val="32"/>
        </w:rPr>
      </w:pPr>
      <w:r>
        <w:rPr>
          <w:rFonts w:ascii="黑体" w:cs="黑体" w:eastAsia="黑体" w:hAnsi="黑体" w:hint="eastAsia"/>
          <w:b/>
          <w:i w:val="false"/>
          <w:caps w:val="false"/>
          <w:color w:val="333333"/>
          <w:spacing w:val="0"/>
          <w:sz w:val="32"/>
          <w:szCs w:val="32"/>
          <w:shd w:val="clear" w:color="auto" w:fill="ffffff"/>
        </w:rPr>
        <w:t>四、政府信息公开行政复议、行政诉讼情况</w:t>
      </w: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fffff"/>
        <w:spacing w:before="0" w:beforeAutospacing="false" w:after="0" w:afterAutospacing="false"/>
        <w:ind w:left="0" w:right="0" w:firstLine="420"/>
        <w:jc w:val="both"/>
        <w:rPr>
          <w:rFonts w:ascii="仿宋_GB2312" w:cs="仿宋_GB2312" w:eastAsia="仿宋_GB2312" w:hAnsi="仿宋_GB2312" w:hint="eastAsia"/>
          <w:i w:val="false"/>
          <w:caps w:val="false"/>
          <w:color w:val="333333"/>
          <w:spacing w:val="0"/>
          <w:sz w:val="32"/>
          <w:szCs w:val="32"/>
        </w:rPr>
      </w:pPr>
    </w:p>
    <w:tbl>
      <w:tblPr>
        <w:tblStyle w:val="style105"/>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auto"/>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行政复议</w:t>
            </w:r>
          </w:p>
        </w:tc>
        <w:tc>
          <w:tcPr>
            <w:tcW w:w="5997"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行政诉讼</w:t>
            </w:r>
          </w:p>
        </w:tc>
      </w:tr>
      <w:tr>
        <w:tblPrEx/>
        <w:trPr>
          <w:jc w:val="center"/>
        </w:trPr>
        <w:tc>
          <w:tcPr>
            <w:tcW w:w="60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结果维持</w:t>
            </w:r>
          </w:p>
        </w:tc>
        <w:tc>
          <w:tcPr>
            <w:tcW w:w="60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结果纠正</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其他结果</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尚未审结</w:t>
            </w:r>
          </w:p>
        </w:tc>
        <w:tc>
          <w:tcPr>
            <w:tcW w:w="65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总计</w:t>
            </w:r>
          </w:p>
        </w:tc>
        <w:tc>
          <w:tcPr>
            <w:tcW w:w="29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复议后起诉</w:t>
            </w:r>
          </w:p>
        </w:tc>
      </w:tr>
      <w:tr>
        <w:tblPrEx/>
        <w:trPr>
          <w:trHeight w:val="1656" w:hRule="atLeast"/>
          <w:jc w:val="center"/>
        </w:trPr>
        <w:tc>
          <w:tcPr>
            <w:tcW w:w="604" w:type="dxa"/>
            <w:vMerge w:val="continu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color w:val="000000"/>
                <w:sz w:val="32"/>
                <w:szCs w:val="32"/>
              </w:rPr>
            </w:pPr>
          </w:p>
        </w:tc>
        <w:tc>
          <w:tcPr>
            <w:tcW w:w="604" w:type="dxa"/>
            <w:vMerge w:val="continue"/>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color w:val="000000"/>
                <w:sz w:val="32"/>
                <w:szCs w:val="32"/>
              </w:rPr>
            </w:pPr>
          </w:p>
        </w:tc>
        <w:tc>
          <w:tcPr>
            <w:tcW w:w="604" w:type="dxa"/>
            <w:vMerge w:val="continu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color w:val="000000"/>
                <w:sz w:val="32"/>
                <w:szCs w:val="32"/>
              </w:rPr>
            </w:pPr>
          </w:p>
        </w:tc>
        <w:tc>
          <w:tcPr>
            <w:tcW w:w="604" w:type="dxa"/>
            <w:vMerge w:val="continu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color w:val="000000"/>
                <w:sz w:val="32"/>
                <w:szCs w:val="32"/>
              </w:rPr>
            </w:pPr>
          </w:p>
        </w:tc>
        <w:tc>
          <w:tcPr>
            <w:tcW w:w="658" w:type="dxa"/>
            <w:vMerge w:val="continu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rPr>
                <w:rFonts w:ascii="仿宋_GB2312" w:cs="仿宋_GB2312" w:eastAsia="仿宋_GB2312" w:hAnsi="仿宋_GB2312" w:hint="eastAsia"/>
                <w:color w:val="000000"/>
                <w:sz w:val="32"/>
                <w:szCs w:val="32"/>
              </w:rPr>
            </w:pP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结果维持</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其他结果</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尚未审结</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总计</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结果维持</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其他结果</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尚未审结</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right="0"/>
              <w:jc w:val="center"/>
              <w:rPr>
                <w:rFonts w:ascii="仿宋_GB2312" w:cs="仿宋_GB2312" w:eastAsia="仿宋_GB2312" w:hAnsi="仿宋_GB2312" w:hint="eastAsia"/>
                <w:color w:val="000000"/>
                <w:sz w:val="32"/>
                <w:szCs w:val="32"/>
              </w:rPr>
            </w:pPr>
            <w:r>
              <w:rPr>
                <w:rFonts w:ascii="仿宋_GB2312" w:cs="仿宋_GB2312" w:eastAsia="仿宋_GB2312" w:hAnsi="仿宋_GB2312" w:hint="eastAsia"/>
                <w:color w:val="000000"/>
                <w:kern w:val="0"/>
                <w:sz w:val="32"/>
                <w:szCs w:val="32"/>
                <w:lang w:val="en-US" w:eastAsia="zh-CN"/>
              </w:rPr>
              <w:t>总计</w:t>
            </w:r>
          </w:p>
        </w:tc>
      </w:tr>
      <w:tr>
        <w:tblPrEx/>
        <w:trPr>
          <w:trHeight w:val="667" w:hRule="atLeast"/>
          <w:jc w:val="center"/>
        </w:trPr>
        <w:tc>
          <w:tcPr>
            <w:tcW w:w="60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leftChars="0" w:right="0" w:rightChars="0"/>
              <w:jc w:val="center"/>
              <w:rPr>
                <w:rFonts w:ascii="仿宋_GB2312" w:cs="仿宋_GB2312" w:eastAsia="仿宋_GB2312" w:hAnsi="仿宋_GB2312" w:hint="default"/>
                <w:color w:val="000000"/>
                <w:kern w:val="2"/>
                <w:sz w:val="32"/>
                <w:szCs w:val="32"/>
                <w:lang w:val="en-US" w:bidi="ar-SA" w:eastAsia="zh-CN"/>
              </w:rPr>
            </w:pPr>
            <w:r>
              <w:rPr>
                <w:rFonts w:ascii="仿宋_GB2312" w:cs="仿宋_GB2312" w:eastAsia="仿宋_GB2312" w:hAnsi="仿宋_GB2312" w:hint="eastAsia"/>
                <w:color w:val="000000"/>
                <w:kern w:val="2"/>
                <w:sz w:val="32"/>
                <w:szCs w:val="32"/>
                <w:lang w:val="en-US" w:bidi="ar-SA" w:eastAsia="zh-CN"/>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leftChars="0" w:right="0" w:rightChars="0"/>
              <w:jc w:val="center"/>
              <w:rPr>
                <w:rFonts w:ascii="仿宋_GB2312" w:cs="仿宋_GB2312" w:eastAsia="仿宋_GB2312" w:hAnsi="仿宋_GB2312" w:hint="default"/>
                <w:color w:val="000000"/>
                <w:kern w:val="2"/>
                <w:sz w:val="32"/>
                <w:szCs w:val="32"/>
                <w:lang w:val="en-US" w:bidi="ar-SA" w:eastAsia="zh-CN"/>
              </w:rPr>
            </w:pPr>
            <w:r>
              <w:rPr>
                <w:rFonts w:ascii="仿宋_GB2312" w:cs="仿宋_GB2312" w:eastAsia="仿宋_GB2312" w:hAnsi="仿宋_GB2312" w:hint="eastAsia"/>
                <w:color w:val="000000"/>
                <w:kern w:val="2"/>
                <w:sz w:val="32"/>
                <w:szCs w:val="32"/>
                <w:lang w:val="en-US" w:bidi="ar-SA" w:eastAsia="zh-CN"/>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leftChars="0" w:right="0" w:rightChars="0"/>
              <w:jc w:val="center"/>
              <w:rPr>
                <w:rFonts w:ascii="仿宋_GB2312" w:cs="仿宋_GB2312" w:eastAsia="仿宋_GB2312" w:hAnsi="仿宋_GB2312" w:hint="eastAsia"/>
                <w:color w:val="000000"/>
                <w:kern w:val="2"/>
                <w:sz w:val="32"/>
                <w:szCs w:val="32"/>
                <w:lang w:val="en-US" w:bidi="ar-SA" w:eastAsia="zh-CN"/>
              </w:rPr>
            </w:pPr>
            <w:r>
              <w:rPr>
                <w:rFonts w:ascii="仿宋_GB2312" w:cs="仿宋_GB2312" w:eastAsia="仿宋_GB2312" w:hAnsi="仿宋_GB2312" w:hint="eastAsia"/>
                <w:color w:val="000000"/>
                <w:kern w:val="0"/>
                <w:sz w:val="32"/>
                <w:szCs w:val="32"/>
                <w:lang w:val="en-US" w:eastAsia="zh-CN"/>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leftChars="0" w:right="0" w:rightChars="0"/>
              <w:jc w:val="center"/>
              <w:rPr>
                <w:rFonts w:ascii="仿宋_GB2312" w:cs="仿宋_GB2312" w:eastAsia="仿宋_GB2312" w:hAnsi="仿宋_GB2312" w:hint="default"/>
                <w:color w:val="000000"/>
                <w:kern w:val="2"/>
                <w:sz w:val="32"/>
                <w:szCs w:val="32"/>
                <w:lang w:val="en-US" w:bidi="ar-SA" w:eastAsia="zh-CN"/>
              </w:rPr>
            </w:pPr>
            <w:r>
              <w:rPr>
                <w:rFonts w:ascii="仿宋_GB2312" w:cs="仿宋_GB2312" w:eastAsia="仿宋_GB2312" w:hAnsi="仿宋_GB2312" w:hint="eastAsia"/>
                <w:color w:val="000000"/>
                <w:kern w:val="2"/>
                <w:sz w:val="32"/>
                <w:szCs w:val="32"/>
                <w:lang w:val="en-US" w:bidi="ar-SA" w:eastAsia="zh-CN"/>
              </w:rPr>
              <w:t>0</w:t>
            </w:r>
          </w:p>
        </w:tc>
        <w:tc>
          <w:tcPr>
            <w:tcW w:w="658"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leftChars="0" w:right="0" w:rightChars="0"/>
              <w:jc w:val="center"/>
              <w:rPr>
                <w:rFonts w:ascii="仿宋_GB2312" w:cs="仿宋_GB2312" w:eastAsia="仿宋_GB2312" w:hAnsi="仿宋_GB2312" w:hint="default"/>
                <w:color w:val="000000"/>
                <w:kern w:val="2"/>
                <w:sz w:val="32"/>
                <w:szCs w:val="32"/>
                <w:lang w:val="en-US" w:bidi="ar-SA" w:eastAsia="zh-CN"/>
              </w:rPr>
            </w:pPr>
            <w:r>
              <w:rPr>
                <w:rFonts w:ascii="仿宋_GB2312" w:cs="仿宋_GB2312" w:eastAsia="仿宋_GB2312" w:hAnsi="仿宋_GB2312" w:hint="eastAsia"/>
                <w:color w:val="000000"/>
                <w:kern w:val="2"/>
                <w:sz w:val="32"/>
                <w:szCs w:val="32"/>
                <w:lang w:val="en-US" w:bidi="ar-SA" w:eastAsia="zh-CN"/>
              </w:rPr>
              <w:t>0</w:t>
            </w: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leftChars="0" w:right="0" w:rightChars="0"/>
              <w:jc w:val="center"/>
              <w:rPr>
                <w:rFonts w:ascii="仿宋_GB2312" w:cs="仿宋_GB2312" w:eastAsia="仿宋_GB2312" w:hAnsi="仿宋_GB2312" w:hint="default"/>
                <w:color w:val="000000"/>
                <w:kern w:val="2"/>
                <w:sz w:val="32"/>
                <w:szCs w:val="32"/>
                <w:lang w:val="en-US" w:bidi="ar-SA" w:eastAsia="zh-CN"/>
              </w:rPr>
            </w:pPr>
            <w:r>
              <w:rPr>
                <w:rFonts w:ascii="仿宋_GB2312" w:cs="仿宋_GB2312" w:eastAsia="仿宋_GB2312" w:hAnsi="仿宋_GB2312" w:hint="eastAsia"/>
                <w:color w:val="000000"/>
                <w:kern w:val="2"/>
                <w:sz w:val="32"/>
                <w:szCs w:val="32"/>
                <w:lang w:val="en-US" w:bidi="ar-SA" w:eastAsia="zh-CN"/>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leftChars="0" w:right="0" w:rightChars="0"/>
              <w:jc w:val="center"/>
              <w:rPr>
                <w:rFonts w:ascii="仿宋_GB2312" w:cs="仿宋_GB2312" w:eastAsia="仿宋_GB2312" w:hAnsi="仿宋_GB2312" w:hint="eastAsia"/>
                <w:color w:val="000000"/>
                <w:kern w:val="2"/>
                <w:sz w:val="32"/>
                <w:szCs w:val="32"/>
                <w:lang w:val="en-US" w:bidi="ar-SA" w:eastAsia="zh-CN"/>
              </w:rPr>
            </w:pPr>
            <w:r>
              <w:rPr>
                <w:rFonts w:ascii="仿宋_GB2312" w:cs="仿宋_GB2312" w:eastAsia="仿宋_GB2312" w:hAnsi="仿宋_GB2312" w:hint="eastAsia"/>
                <w:color w:val="000000"/>
                <w:kern w:val="0"/>
                <w:sz w:val="32"/>
                <w:szCs w:val="32"/>
                <w:lang w:val="en-US" w:eastAsia="zh-CN"/>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leftChars="0" w:right="0" w:rightChars="0"/>
              <w:jc w:val="center"/>
              <w:rPr>
                <w:rFonts w:ascii="仿宋_GB2312" w:cs="仿宋_GB2312" w:eastAsia="仿宋_GB2312" w:hAnsi="仿宋_GB2312" w:hint="eastAsia"/>
                <w:color w:val="000000"/>
                <w:kern w:val="2"/>
                <w:sz w:val="32"/>
                <w:szCs w:val="32"/>
                <w:lang w:val="en-US" w:bidi="ar-SA" w:eastAsia="zh-CN"/>
              </w:rPr>
            </w:pPr>
            <w:r>
              <w:rPr>
                <w:rFonts w:ascii="仿宋_GB2312" w:cs="仿宋_GB2312" w:eastAsia="仿宋_GB2312" w:hAnsi="仿宋_GB2312" w:hint="eastAsia"/>
                <w:color w:val="000000"/>
                <w:kern w:val="0"/>
                <w:sz w:val="32"/>
                <w:szCs w:val="32"/>
                <w:lang w:val="en-US" w:eastAsia="zh-CN"/>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leftChars="0" w:right="0" w:rightChars="0"/>
              <w:jc w:val="center"/>
              <w:rPr>
                <w:rFonts w:ascii="仿宋_GB2312" w:cs="仿宋_GB2312" w:eastAsia="仿宋_GB2312" w:hAnsi="仿宋_GB2312" w:hint="default"/>
                <w:color w:val="000000"/>
                <w:kern w:val="2"/>
                <w:sz w:val="32"/>
                <w:szCs w:val="32"/>
                <w:lang w:val="en-US" w:bidi="ar-SA" w:eastAsia="zh-CN"/>
              </w:rPr>
            </w:pPr>
            <w:r>
              <w:rPr>
                <w:rFonts w:ascii="仿宋_GB2312" w:cs="仿宋_GB2312" w:eastAsia="仿宋_GB2312" w:hAnsi="仿宋_GB2312" w:hint="eastAsia"/>
                <w:color w:val="000000"/>
                <w:kern w:val="2"/>
                <w:sz w:val="32"/>
                <w:szCs w:val="32"/>
                <w:lang w:val="en-US" w:bidi="ar-SA" w:eastAsia="zh-CN"/>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leftChars="0" w:right="0" w:rightChars="0"/>
              <w:jc w:val="center"/>
              <w:rPr>
                <w:rFonts w:ascii="仿宋_GB2312" w:cs="仿宋_GB2312" w:eastAsia="仿宋_GB2312" w:hAnsi="仿宋_GB2312" w:hint="default"/>
                <w:color w:val="000000"/>
                <w:kern w:val="2"/>
                <w:sz w:val="32"/>
                <w:szCs w:val="32"/>
                <w:lang w:val="en-US" w:bidi="ar-SA" w:eastAsia="zh-CN"/>
              </w:rPr>
            </w:pPr>
            <w:r>
              <w:rPr>
                <w:rFonts w:ascii="仿宋_GB2312" w:cs="仿宋_GB2312" w:eastAsia="仿宋_GB2312" w:hAnsi="仿宋_GB2312" w:hint="eastAsia"/>
                <w:color w:val="000000"/>
                <w:kern w:val="2"/>
                <w:sz w:val="32"/>
                <w:szCs w:val="32"/>
                <w:lang w:val="en-US" w:bidi="ar-SA" w:eastAsia="zh-CN"/>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leftChars="0" w:right="0" w:rightChars="0"/>
              <w:jc w:val="center"/>
              <w:rPr>
                <w:rFonts w:ascii="仿宋_GB2312" w:cs="仿宋_GB2312" w:eastAsia="仿宋_GB2312" w:hAnsi="仿宋_GB2312" w:hint="eastAsia"/>
                <w:color w:val="000000"/>
                <w:kern w:val="2"/>
                <w:sz w:val="32"/>
                <w:szCs w:val="32"/>
                <w:lang w:val="en-US" w:bidi="ar-SA" w:eastAsia="zh-CN"/>
              </w:rPr>
            </w:pPr>
            <w:r>
              <w:rPr>
                <w:rFonts w:ascii="仿宋_GB2312" w:cs="仿宋_GB2312" w:eastAsia="仿宋_GB2312" w:hAnsi="仿宋_GB2312" w:hint="eastAsia"/>
                <w:color w:val="000000"/>
                <w:kern w:val="0"/>
                <w:sz w:val="32"/>
                <w:szCs w:val="32"/>
                <w:lang w:val="en-US" w:eastAsia="zh-CN"/>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leftChars="0" w:right="0" w:rightChars="0"/>
              <w:jc w:val="center"/>
              <w:rPr>
                <w:rFonts w:ascii="仿宋_GB2312" w:cs="仿宋_GB2312" w:eastAsia="仿宋_GB2312" w:hAnsi="仿宋_GB2312" w:hint="eastAsia"/>
                <w:color w:val="000000"/>
                <w:kern w:val="2"/>
                <w:sz w:val="32"/>
                <w:szCs w:val="32"/>
                <w:lang w:val="en-US" w:bidi="ar-SA" w:eastAsia="zh-CN"/>
              </w:rPr>
            </w:pPr>
            <w:r>
              <w:rPr>
                <w:rFonts w:ascii="仿宋_GB2312" w:cs="仿宋_GB2312" w:eastAsia="仿宋_GB2312" w:hAnsi="仿宋_GB2312" w:hint="eastAsia"/>
                <w:color w:val="000000"/>
                <w:kern w:val="0"/>
                <w:sz w:val="32"/>
                <w:szCs w:val="32"/>
                <w:lang w:val="en-US" w:eastAsia="zh-CN"/>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leftChars="0" w:right="0" w:rightChars="0"/>
              <w:jc w:val="center"/>
              <w:rPr>
                <w:rFonts w:ascii="仿宋_GB2312" w:cs="仿宋_GB2312" w:eastAsia="仿宋_GB2312" w:hAnsi="仿宋_GB2312" w:hint="eastAsia"/>
                <w:color w:val="000000"/>
                <w:kern w:val="2"/>
                <w:sz w:val="32"/>
                <w:szCs w:val="32"/>
                <w:lang w:val="en-US" w:bidi="ar-SA" w:eastAsia="zh-CN"/>
              </w:rPr>
            </w:pPr>
            <w:r>
              <w:rPr>
                <w:rFonts w:ascii="仿宋_GB2312" w:cs="仿宋_GB2312" w:eastAsia="仿宋_GB2312" w:hAnsi="仿宋_GB2312" w:hint="eastAsia"/>
                <w:color w:val="000000"/>
                <w:kern w:val="0"/>
                <w:sz w:val="32"/>
                <w:szCs w:val="32"/>
                <w:lang w:val="en-US" w:eastAsia="zh-CN"/>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180" w:afterAutospacing="false"/>
              <w:ind w:left="0" w:leftChars="0" w:right="0" w:rightChars="0"/>
              <w:jc w:val="center"/>
              <w:rPr>
                <w:rFonts w:ascii="仿宋_GB2312" w:cs="仿宋_GB2312" w:eastAsia="仿宋_GB2312" w:hAnsi="仿宋_GB2312" w:hint="default"/>
                <w:color w:val="000000"/>
                <w:kern w:val="2"/>
                <w:sz w:val="32"/>
                <w:szCs w:val="32"/>
                <w:lang w:val="en-US" w:bidi="ar-SA" w:eastAsia="zh-CN"/>
              </w:rPr>
            </w:pPr>
            <w:r>
              <w:rPr>
                <w:rFonts w:ascii="仿宋_GB2312" w:cs="仿宋_GB2312" w:eastAsia="仿宋_GB2312" w:hAnsi="仿宋_GB2312" w:hint="eastAsia"/>
                <w:color w:val="000000"/>
                <w:kern w:val="2"/>
                <w:sz w:val="32"/>
                <w:szCs w:val="32"/>
                <w:lang w:val="en-US" w:bidi="ar-SA" w:eastAsia="zh-CN"/>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pPr>
              <w:pStyle w:val="style0"/>
              <w:jc w:val="center"/>
              <w:rPr>
                <w:rFonts w:ascii="仿宋_GB2312" w:cs="仿宋_GB2312" w:eastAsia="仿宋_GB2312" w:hAnsi="仿宋_GB2312" w:hint="default"/>
                <w:color w:val="000000"/>
                <w:kern w:val="2"/>
                <w:sz w:val="32"/>
                <w:szCs w:val="32"/>
                <w:lang w:val="en-US" w:bidi="ar-SA" w:eastAsia="zh-CN"/>
              </w:rPr>
            </w:pPr>
            <w:r>
              <w:rPr>
                <w:rFonts w:ascii="仿宋_GB2312" w:cs="仿宋_GB2312" w:eastAsia="仿宋_GB2312" w:hAnsi="仿宋_GB2312" w:hint="eastAsia"/>
                <w:color w:val="000000"/>
                <w:kern w:val="2"/>
                <w:sz w:val="32"/>
                <w:szCs w:val="32"/>
                <w:lang w:val="en-US" w:bidi="ar-SA" w:eastAsia="zh-CN"/>
              </w:rPr>
              <w:t>0</w:t>
            </w:r>
          </w:p>
        </w:tc>
      </w:tr>
    </w:tbl>
    <w:p>
      <w:pPr>
        <w:pStyle w:val="style0"/>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fffff"/>
        <w:spacing w:before="0" w:beforeAutospacing="false" w:after="0" w:afterAutospacing="false"/>
        <w:ind w:left="0" w:right="0" w:firstLine="0"/>
        <w:jc w:val="center"/>
        <w:rPr>
          <w:rFonts w:ascii="黑体" w:cs="黑体" w:eastAsia="黑体" w:hAnsi="黑体" w:hint="eastAsia"/>
          <w:i w:val="false"/>
          <w:caps w:val="false"/>
          <w:color w:val="333333"/>
          <w:spacing w:val="0"/>
          <w:sz w:val="32"/>
          <w:szCs w:val="32"/>
        </w:rPr>
      </w:pP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fffff"/>
        <w:spacing w:before="0" w:beforeAutospacing="false" w:after="0" w:afterAutospacing="false"/>
        <w:ind w:left="0" w:right="0" w:firstLine="420"/>
        <w:jc w:val="both"/>
        <w:rPr>
          <w:rFonts w:ascii="黑体" w:cs="黑体" w:eastAsia="黑体" w:hAnsi="黑体" w:hint="eastAsia"/>
          <w:i w:val="false"/>
          <w:caps w:val="false"/>
          <w:color w:val="333333"/>
          <w:spacing w:val="0"/>
          <w:sz w:val="32"/>
          <w:szCs w:val="32"/>
        </w:rPr>
      </w:pPr>
      <w:r>
        <w:rPr>
          <w:rFonts w:ascii="黑体" w:cs="黑体" w:eastAsia="黑体" w:hAnsi="黑体" w:hint="eastAsia"/>
          <w:b/>
          <w:i w:val="false"/>
          <w:caps w:val="false"/>
          <w:color w:val="333333"/>
          <w:spacing w:val="0"/>
          <w:sz w:val="32"/>
          <w:szCs w:val="32"/>
          <w:shd w:val="clear" w:color="auto" w:fill="ffffff"/>
        </w:rPr>
        <w:t>五、存在的主要问题及改进情况</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sz w:val="32"/>
          <w:szCs w:val="32"/>
          <w:lang w:eastAsia="zh-CN"/>
        </w:rPr>
      </w:pPr>
      <w:r>
        <w:rPr>
          <w:rFonts w:ascii="仿宋_GB2312" w:cs="仿宋_GB2312" w:eastAsia="仿宋_GB2312" w:hAnsi="仿宋_GB2312" w:hint="eastAsia"/>
          <w:sz w:val="32"/>
          <w:szCs w:val="32"/>
          <w:lang w:eastAsia="zh-CN"/>
        </w:rPr>
        <w:t>由于改革，我局于</w:t>
      </w:r>
      <w:r>
        <w:rPr>
          <w:rFonts w:ascii="仿宋_GB2312" w:cs="仿宋_GB2312" w:eastAsia="仿宋_GB2312" w:hAnsi="仿宋_GB2312" w:hint="eastAsia"/>
          <w:sz w:val="32"/>
          <w:szCs w:val="32"/>
          <w:lang w:val="en-US" w:eastAsia="zh-CN"/>
        </w:rPr>
        <w:t>2019年6月才正式在龙岗政府在线网站及子网站进行信息公开，经过对市区考核指标的梳理，我局需更新栏目及公开信息量较大，时间紧、任务重，</w:t>
      </w:r>
      <w:r>
        <w:rPr>
          <w:rFonts w:ascii="仿宋_GB2312" w:cs="仿宋_GB2312" w:eastAsia="仿宋_GB2312" w:hAnsi="仿宋_GB2312" w:hint="eastAsia"/>
          <w:sz w:val="32"/>
          <w:szCs w:val="32"/>
        </w:rPr>
        <w:t>目前，我局政府信息公开工作虽然取得了一定的成效，但信息公开内容及公开形式与公众需求仍有一定的差距，有待进一步的提高</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val="en-US" w:eastAsia="zh-CN"/>
        </w:rPr>
        <w:t>2020</w:t>
      </w:r>
      <w:r>
        <w:rPr>
          <w:rFonts w:ascii="仿宋_GB2312" w:cs="仿宋_GB2312" w:eastAsia="仿宋_GB2312" w:hAnsi="仿宋_GB2312" w:hint="eastAsia"/>
          <w:sz w:val="32"/>
          <w:szCs w:val="32"/>
        </w:rPr>
        <w:t>年，我局将继续按照《条例》要求，以门户网站为主渠道加大信息公开力度，为打造创新型和服务型的阳光政府部门而努力。</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（一）继续加大信息公开力度。结合年度信息公开工作总体要求，进一步扩大信息公开范围，加大环境质量、生态建设、环境保护等生态文明建设方面政府信息的公开力度。</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（二）继续提高信息公开质量。依法、及时、准确公开与市民密切相关政府信息，进一步健全保密审查、信息发布等工作机制，加大信息审核力度，提高信息公开质量。</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三）继续提高网站服务水平。加强业务学习，进一步提高工作人员在办事和便民服务、答复公众来信和围绕重点工作开展民意征集等方面的能力，指定专人做好信息采、编、审、发等工作，提高行政管理的透明度和办事效率。</w:t>
      </w: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fffff"/>
        <w:spacing w:before="0" w:beforeAutospacing="false" w:after="0" w:afterAutospacing="false"/>
        <w:ind w:left="0" w:right="0" w:firstLine="420"/>
        <w:jc w:val="both"/>
        <w:rPr>
          <w:rFonts w:ascii="仿宋_GB2312" w:cs="仿宋_GB2312" w:eastAsia="仿宋_GB2312" w:hAnsi="仿宋_GB2312" w:hint="eastAsia"/>
          <w:b/>
          <w:i w:val="false"/>
          <w:caps w:val="false"/>
          <w:color w:val="333333"/>
          <w:spacing w:val="0"/>
          <w:sz w:val="32"/>
          <w:szCs w:val="32"/>
          <w:shd w:val="clear" w:color="auto" w:fill="ffffff"/>
        </w:rPr>
      </w:pP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leftChars="200"/>
        <w:jc w:val="right"/>
        <w:textAlignment w:val="auto"/>
        <w:rPr>
          <w:rFonts w:ascii="仿宋_GB2312" w:cs="仿宋_GB2312" w:eastAsia="仿宋_GB2312" w:hAnsi="仿宋_GB2312" w:hint="eastAsia"/>
          <w:sz w:val="32"/>
          <w:szCs w:val="32"/>
          <w:lang w:val="en-US" w:eastAsia="zh-CN"/>
        </w:rPr>
      </w:pP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leftChars="200"/>
        <w:jc w:val="right"/>
        <w:textAlignment w:val="auto"/>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深圳市生态环境局龙岗管理局</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leftChars="200"/>
        <w:jc w:val="right"/>
        <w:textAlignment w:val="auto"/>
        <w:rPr>
          <w:rFonts w:ascii="仿宋_GB2312" w:cs="仿宋_GB2312" w:eastAsia="仿宋_GB2312" w:hAnsi="仿宋_GB2312" w:hint="default"/>
          <w:sz w:val="32"/>
          <w:szCs w:val="32"/>
          <w:lang w:val="en-US" w:eastAsia="zh-CN"/>
        </w:rPr>
      </w:pPr>
      <w:r>
        <w:rPr>
          <w:rFonts w:ascii="仿宋_GB2312" w:cs="仿宋_GB2312" w:eastAsia="仿宋_GB2312" w:hAnsi="仿宋_GB2312" w:hint="eastAsia"/>
          <w:sz w:val="32"/>
          <w:szCs w:val="32"/>
          <w:lang w:val="en-US" w:eastAsia="zh-CN"/>
        </w:rPr>
        <w:t>2020年1月1日</w:t>
      </w:r>
    </w:p>
    <w:sectPr>
      <w:footerReference w:type="default" r:id="rId2"/>
      <w:pgSz w:w="11906" w:h="16838" w:orient="portrait"/>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仿宋_GB2312">
    <w:altName w:val="仿宋_GB2312"/>
    <w:panose1 w:val="02010609030001010101"/>
    <w:charset w:val="86"/>
    <w:family w:val="auto"/>
    <w:pitch w:val="default"/>
    <w:sig w:usb0="00000001" w:usb1="080E0000" w:usb2="00000000" w:usb3="00000000" w:csb0="0004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sz w:val="18"/>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lIns="0" rIns="0" tIns="0" bIns="0" vert="horz" anchor="t" wrap="none" upright="false">
                      <a:prstTxWarp prst="textNoShape"/>
                      <a:spAutoFit/>
                    </wps:bodyPr>
                  </wps:wsp>
                </a:graphicData>
              </a:graphic>
            </wp:anchor>
          </w:drawing>
        </mc:Choice>
        <mc:Fallback>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32">
    <w:name w:val="footer"/>
    <w:basedOn w:val="style0"/>
    <w:next w:val="style32"/>
    <w:qFormat/>
    <w:uiPriority w:val="0"/>
    <w:pPr>
      <w:tabs>
        <w:tab w:val="center" w:leader="none" w:pos="4153"/>
        <w:tab w:val="right" w:leader="none" w:pos="8306"/>
      </w:tabs>
      <w:snapToGrid w:val="false"/>
      <w:jc w:val="left"/>
    </w:pPr>
    <w:rPr>
      <w:sz w:val="18"/>
    </w:rPr>
  </w:style>
  <w:style w:type="paragraph" w:styleId="style31">
    <w:name w:val="header"/>
    <w:basedOn w:val="style0"/>
    <w:next w:val="style31"/>
    <w:qFormat/>
    <w:uiPriority w:val="0"/>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spacing w:lineRule="auto" w:line="240"/>
      <w:jc w:val="both"/>
      <w:outlineLvl w:val="9"/>
    </w:pPr>
    <w:rPr>
      <w:sz w:val="18"/>
    </w:rPr>
  </w:style>
  <w:style w:type="paragraph" w:styleId="style94">
    <w:name w:val="Normal (Web)"/>
    <w:basedOn w:val="style0"/>
    <w:next w:val="style94"/>
    <w:qFormat/>
    <w:uiPriority w:val="0"/>
    <w:pPr>
      <w:spacing w:before="0" w:beforeAutospacing="true" w:after="0" w:afterAutospacing="true"/>
      <w:ind w:left="0" w:right="0"/>
      <w:jc w:val="left"/>
    </w:pPr>
    <w:rPr>
      <w:kern w:val="0"/>
      <w:sz w:val="24"/>
      <w:lang w:val="en-US" w:eastAsia="zh-CN"/>
    </w:rPr>
  </w:style>
  <w:style w:type="character" w:styleId="style86">
    <w:name w:val="FollowedHyperlink"/>
    <w:basedOn w:val="style65"/>
    <w:next w:val="style86"/>
    <w:qFormat/>
    <w:uiPriority w:val="0"/>
    <w:rPr>
      <w:color w:val="666666"/>
      <w:u w:val="none"/>
    </w:rPr>
  </w:style>
  <w:style w:type="character" w:styleId="style85">
    <w:name w:val="Hyperlink"/>
    <w:basedOn w:val="style65"/>
    <w:next w:val="style85"/>
    <w:qFormat/>
    <w:uiPriority w:val="0"/>
    <w:rPr>
      <w:color w:val="666666"/>
      <w:u w:val="non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Words>1768</Words>
  <Pages>1</Pages>
  <Characters>1828</Characters>
  <Application>WPS Office</Application>
  <DocSecurity>0</DocSecurity>
  <Paragraphs>399</Paragraphs>
  <ScaleCrop>false</ScaleCrop>
  <LinksUpToDate>false</LinksUpToDate>
  <CharactersWithSpaces>1830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2019-12-02T06:57:00Z</dcterms:created>
  <dc:creator>谭阳洋</dc:creator>
  <lastModifiedBy>PCT-AL10</lastModifiedBy>
  <lastPrinted>2019-12-24T09:04:00Z</lastPrinted>
  <dcterms:modified xsi:type="dcterms:W3CDTF">2020-01-21T10:25:40Z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