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cs="Times New Roman"/>
          <w:sz w:val="32"/>
          <w:szCs w:val="32"/>
        </w:rPr>
      </w:pPr>
      <w:r>
        <w:rPr>
          <w:rFonts w:hint="eastAsia" w:ascii="黑体" w:hAnsi="黑体" w:eastAsia="黑体" w:cs="Times New Roman"/>
          <w:sz w:val="32"/>
          <w:szCs w:val="32"/>
        </w:rPr>
        <w:t>附件</w:t>
      </w:r>
    </w:p>
    <w:p>
      <w:pPr>
        <w:spacing w:line="240" w:lineRule="auto"/>
        <w:jc w:val="center"/>
        <w:rPr>
          <w:rFonts w:ascii="Calibri" w:hAnsi="Calibri" w:eastAsia="宋体" w:cs="Times New Roman"/>
          <w:b/>
          <w:sz w:val="44"/>
          <w:szCs w:val="44"/>
        </w:rPr>
      </w:pPr>
      <w:bookmarkStart w:id="0" w:name="_GoBack"/>
      <w:r>
        <w:rPr>
          <w:rFonts w:hint="eastAsia" w:ascii="Calibri" w:hAnsi="Calibri" w:eastAsia="宋体" w:cs="Times New Roman"/>
          <w:b/>
          <w:sz w:val="44"/>
          <w:szCs w:val="44"/>
        </w:rPr>
        <w:t>深圳市龙岗区落实中央环保督察组反馈意见整改任务台账</w:t>
      </w:r>
    </w:p>
    <w:bookmarkEnd w:id="0"/>
    <w:p>
      <w:pPr>
        <w:spacing w:line="240" w:lineRule="auto"/>
        <w:jc w:val="left"/>
        <w:rPr>
          <w:rFonts w:ascii="仿宋_GB2312" w:hAnsi="Calibri" w:eastAsia="仿宋_GB2312" w:cs="Times New Roman"/>
          <w:sz w:val="28"/>
          <w:szCs w:val="28"/>
        </w:rPr>
      </w:pPr>
      <w:r>
        <w:rPr>
          <w:rFonts w:hint="eastAsia" w:ascii="仿宋_GB2312" w:hAnsi="Calibri" w:eastAsia="仿宋_GB2312" w:cs="Times New Roman"/>
          <w:sz w:val="28"/>
          <w:szCs w:val="28"/>
        </w:rPr>
        <w:t>填报单位：龙岗区发改局        填表人：曾东丽   联系电话：89558033       填报时间：2019年</w:t>
      </w:r>
      <w:r>
        <w:rPr>
          <w:rFonts w:hint="eastAsia" w:ascii="仿宋_GB2312" w:hAnsi="Calibri" w:eastAsia="仿宋_GB2312" w:cs="Times New Roman"/>
          <w:sz w:val="28"/>
          <w:szCs w:val="28"/>
          <w:lang w:val="en-US" w:eastAsia="zh-CN"/>
        </w:rPr>
        <w:t>12</w:t>
      </w:r>
      <w:r>
        <w:rPr>
          <w:rFonts w:hint="eastAsia" w:ascii="仿宋_GB2312" w:hAnsi="Calibri" w:eastAsia="仿宋_GB2312" w:cs="Times New Roman"/>
          <w:color w:val="auto"/>
          <w:sz w:val="28"/>
          <w:szCs w:val="28"/>
        </w:rPr>
        <w:t>月</w:t>
      </w:r>
      <w:r>
        <w:rPr>
          <w:rFonts w:hint="eastAsia" w:ascii="仿宋_GB2312" w:hAnsi="Calibri" w:eastAsia="仿宋_GB2312" w:cs="Times New Roman"/>
          <w:color w:val="auto"/>
          <w:sz w:val="28"/>
          <w:szCs w:val="28"/>
          <w:lang w:val="en-US" w:eastAsia="zh-CN"/>
        </w:rPr>
        <w:t>2</w:t>
      </w:r>
      <w:r>
        <w:rPr>
          <w:rFonts w:hint="eastAsia" w:ascii="仿宋_GB2312" w:hAnsi="Calibri" w:eastAsia="仿宋_GB2312" w:cs="Times New Roman"/>
          <w:color w:val="auto"/>
          <w:sz w:val="28"/>
          <w:szCs w:val="28"/>
        </w:rPr>
        <w:t>日</w:t>
      </w:r>
    </w:p>
    <w:tbl>
      <w:tblPr>
        <w:tblStyle w:val="3"/>
        <w:tblW w:w="14739" w:type="dxa"/>
        <w:jc w:val="center"/>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326"/>
        <w:gridCol w:w="2039"/>
        <w:gridCol w:w="1612"/>
        <w:gridCol w:w="5006"/>
        <w:gridCol w:w="1597"/>
        <w:gridCol w:w="123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787"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序号</w:t>
            </w:r>
          </w:p>
        </w:tc>
        <w:tc>
          <w:tcPr>
            <w:tcW w:w="1326"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工作任务</w:t>
            </w:r>
          </w:p>
        </w:tc>
        <w:tc>
          <w:tcPr>
            <w:tcW w:w="2039"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整改事项</w:t>
            </w:r>
          </w:p>
        </w:tc>
        <w:tc>
          <w:tcPr>
            <w:tcW w:w="1612"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报送具体要求</w:t>
            </w:r>
          </w:p>
        </w:tc>
        <w:tc>
          <w:tcPr>
            <w:tcW w:w="5006"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任务推进情况（截至</w:t>
            </w:r>
            <w:r>
              <w:rPr>
                <w:rFonts w:ascii="宋体" w:hAnsi="宋体" w:eastAsia="宋体" w:cs="Times New Roman"/>
                <w:b/>
                <w:sz w:val="22"/>
              </w:rPr>
              <w:t>…）</w:t>
            </w:r>
          </w:p>
        </w:tc>
        <w:tc>
          <w:tcPr>
            <w:tcW w:w="1597"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进展情况报送单位</w:t>
            </w:r>
          </w:p>
        </w:tc>
        <w:tc>
          <w:tcPr>
            <w:tcW w:w="1238"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整改责任</w:t>
            </w:r>
          </w:p>
          <w:p>
            <w:pPr>
              <w:spacing w:line="240" w:lineRule="auto"/>
              <w:jc w:val="center"/>
              <w:rPr>
                <w:rFonts w:ascii="宋体" w:hAnsi="宋体" w:eastAsia="宋体" w:cs="Times New Roman"/>
                <w:b/>
                <w:sz w:val="22"/>
              </w:rPr>
            </w:pPr>
            <w:r>
              <w:rPr>
                <w:rFonts w:hint="eastAsia" w:ascii="宋体" w:hAnsi="宋体" w:eastAsia="宋体" w:cs="Times New Roman"/>
                <w:b/>
                <w:sz w:val="22"/>
              </w:rPr>
              <w:t>单位</w:t>
            </w:r>
          </w:p>
        </w:tc>
        <w:tc>
          <w:tcPr>
            <w:tcW w:w="1134" w:type="dxa"/>
            <w:vMerge w:val="restart"/>
            <w:vAlign w:val="center"/>
          </w:tcPr>
          <w:p>
            <w:pPr>
              <w:spacing w:line="240" w:lineRule="auto"/>
              <w:jc w:val="center"/>
              <w:rPr>
                <w:rFonts w:ascii="宋体" w:hAnsi="宋体" w:eastAsia="宋体" w:cs="Times New Roman"/>
                <w:b/>
                <w:sz w:val="22"/>
              </w:rPr>
            </w:pPr>
            <w:r>
              <w:rPr>
                <w:rFonts w:hint="eastAsia" w:ascii="宋体" w:hAnsi="宋体" w:eastAsia="宋体" w:cs="Times New Roman"/>
                <w:b/>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787" w:type="dxa"/>
            <w:vMerge w:val="continue"/>
            <w:vAlign w:val="center"/>
          </w:tcPr>
          <w:p>
            <w:pPr>
              <w:spacing w:line="240" w:lineRule="auto"/>
              <w:jc w:val="center"/>
              <w:rPr>
                <w:rFonts w:ascii="宋体" w:hAnsi="宋体" w:eastAsia="宋体" w:cs="Times New Roman"/>
                <w:b/>
                <w:sz w:val="22"/>
              </w:rPr>
            </w:pPr>
          </w:p>
        </w:tc>
        <w:tc>
          <w:tcPr>
            <w:tcW w:w="1326" w:type="dxa"/>
            <w:vMerge w:val="continue"/>
            <w:vAlign w:val="center"/>
          </w:tcPr>
          <w:p>
            <w:pPr>
              <w:spacing w:line="240" w:lineRule="auto"/>
              <w:rPr>
                <w:rFonts w:ascii="宋体" w:hAnsi="宋体" w:eastAsia="宋体" w:cs="Times New Roman"/>
                <w:b/>
                <w:sz w:val="22"/>
              </w:rPr>
            </w:pPr>
          </w:p>
        </w:tc>
        <w:tc>
          <w:tcPr>
            <w:tcW w:w="2039" w:type="dxa"/>
            <w:vMerge w:val="continue"/>
            <w:vAlign w:val="center"/>
          </w:tcPr>
          <w:p>
            <w:pPr>
              <w:spacing w:line="240" w:lineRule="auto"/>
              <w:rPr>
                <w:rFonts w:ascii="宋体" w:hAnsi="宋体" w:eastAsia="宋体" w:cs="Times New Roman"/>
                <w:b/>
                <w:sz w:val="22"/>
              </w:rPr>
            </w:pPr>
          </w:p>
        </w:tc>
        <w:tc>
          <w:tcPr>
            <w:tcW w:w="1612" w:type="dxa"/>
            <w:vMerge w:val="continue"/>
            <w:vAlign w:val="center"/>
          </w:tcPr>
          <w:p>
            <w:pPr>
              <w:spacing w:line="240" w:lineRule="auto"/>
              <w:rPr>
                <w:rFonts w:ascii="宋体" w:hAnsi="宋体" w:eastAsia="宋体" w:cs="Times New Roman"/>
                <w:b/>
                <w:sz w:val="22"/>
              </w:rPr>
            </w:pPr>
          </w:p>
        </w:tc>
        <w:tc>
          <w:tcPr>
            <w:tcW w:w="5006" w:type="dxa"/>
            <w:vMerge w:val="continue"/>
            <w:vAlign w:val="center"/>
          </w:tcPr>
          <w:p>
            <w:pPr>
              <w:spacing w:line="240" w:lineRule="auto"/>
              <w:rPr>
                <w:rFonts w:ascii="宋体" w:hAnsi="宋体" w:eastAsia="宋体" w:cs="Times New Roman"/>
                <w:b/>
                <w:sz w:val="22"/>
              </w:rPr>
            </w:pPr>
          </w:p>
        </w:tc>
        <w:tc>
          <w:tcPr>
            <w:tcW w:w="1597" w:type="dxa"/>
            <w:vMerge w:val="continue"/>
            <w:vAlign w:val="center"/>
          </w:tcPr>
          <w:p>
            <w:pPr>
              <w:spacing w:line="240" w:lineRule="auto"/>
              <w:jc w:val="left"/>
              <w:rPr>
                <w:rFonts w:ascii="宋体" w:hAnsi="宋体" w:eastAsia="宋体" w:cs="Times New Roman"/>
                <w:b/>
                <w:sz w:val="22"/>
              </w:rPr>
            </w:pPr>
          </w:p>
        </w:tc>
        <w:tc>
          <w:tcPr>
            <w:tcW w:w="1238" w:type="dxa"/>
            <w:vMerge w:val="continue"/>
            <w:vAlign w:val="center"/>
          </w:tcPr>
          <w:p>
            <w:pPr>
              <w:spacing w:line="240" w:lineRule="auto"/>
              <w:rPr>
                <w:rFonts w:ascii="宋体" w:hAnsi="宋体" w:eastAsia="宋体" w:cs="Times New Roman"/>
                <w:b/>
                <w:sz w:val="22"/>
              </w:rPr>
            </w:pPr>
          </w:p>
        </w:tc>
        <w:tc>
          <w:tcPr>
            <w:tcW w:w="1134" w:type="dxa"/>
            <w:vMerge w:val="continue"/>
            <w:vAlign w:val="center"/>
          </w:tcPr>
          <w:p>
            <w:pPr>
              <w:spacing w:line="240" w:lineRule="auto"/>
              <w:rPr>
                <w:rFonts w:ascii="宋体" w:hAnsi="宋体"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blHeader/>
          <w:jc w:val="center"/>
        </w:trPr>
        <w:tc>
          <w:tcPr>
            <w:tcW w:w="14739" w:type="dxa"/>
            <w:gridSpan w:val="8"/>
            <w:vAlign w:val="center"/>
          </w:tcPr>
          <w:p>
            <w:pPr>
              <w:spacing w:line="240" w:lineRule="auto"/>
              <w:rPr>
                <w:rFonts w:ascii="宋体" w:hAnsi="宋体" w:eastAsia="宋体" w:cs="Times New Roman"/>
                <w:b/>
                <w:sz w:val="22"/>
              </w:rPr>
            </w:pPr>
            <w:r>
              <w:rPr>
                <w:rFonts w:hint="eastAsia" w:ascii="宋体" w:hAnsi="宋体" w:eastAsia="宋体" w:cs="Times New Roman"/>
                <w:b/>
                <w:sz w:val="22"/>
              </w:rPr>
              <w:t>四、持续推进工业污染防治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9" w:hRule="atLeast"/>
          <w:jc w:val="center"/>
        </w:trPr>
        <w:tc>
          <w:tcPr>
            <w:tcW w:w="787" w:type="dxa"/>
            <w:vAlign w:val="center"/>
          </w:tcPr>
          <w:p>
            <w:pPr>
              <w:spacing w:line="240" w:lineRule="atLeast"/>
              <w:jc w:val="center"/>
              <w:rPr>
                <w:rFonts w:ascii="宋体" w:hAnsi="宋体" w:eastAsia="宋体" w:cs="Times New Roman"/>
                <w:sz w:val="22"/>
              </w:rPr>
            </w:pPr>
            <w:r>
              <w:rPr>
                <w:rFonts w:hint="eastAsia" w:ascii="宋体" w:hAnsi="宋体" w:eastAsia="宋体" w:cs="Times New Roman"/>
                <w:sz w:val="22"/>
              </w:rPr>
              <w:t>1</w:t>
            </w:r>
          </w:p>
        </w:tc>
        <w:tc>
          <w:tcPr>
            <w:tcW w:w="1326" w:type="dxa"/>
            <w:vAlign w:val="center"/>
          </w:tcPr>
          <w:p>
            <w:pPr>
              <w:spacing w:line="240" w:lineRule="atLeast"/>
              <w:rPr>
                <w:rFonts w:ascii="宋体" w:hAnsi="宋体" w:eastAsia="宋体" w:cs="Times New Roman"/>
                <w:b/>
                <w:sz w:val="22"/>
              </w:rPr>
            </w:pPr>
            <w:r>
              <w:rPr>
                <w:rFonts w:hint="eastAsia" w:ascii="宋体" w:hAnsi="宋体" w:eastAsia="宋体" w:cs="Times New Roman"/>
                <w:b/>
                <w:sz w:val="22"/>
              </w:rPr>
              <w:t>力推工业企业入园</w:t>
            </w:r>
          </w:p>
        </w:tc>
        <w:tc>
          <w:tcPr>
            <w:tcW w:w="2039" w:type="dxa"/>
            <w:vAlign w:val="center"/>
          </w:tcPr>
          <w:p>
            <w:pPr>
              <w:spacing w:line="240" w:lineRule="atLeast"/>
              <w:rPr>
                <w:rFonts w:ascii="宋体" w:hAnsi="宋体" w:eastAsia="宋体" w:cs="Times New Roman"/>
                <w:sz w:val="22"/>
              </w:rPr>
            </w:pPr>
            <w:r>
              <w:rPr>
                <w:rFonts w:hint="eastAsia" w:ascii="宋体" w:hAnsi="宋体" w:eastAsia="宋体" w:cs="Times New Roman"/>
                <w:sz w:val="22"/>
              </w:rPr>
              <w:t>宝安区、龙岗区、龙华区、坪山区、光明新区每年至少完成2个工业园区循环化改造。其中，宝安区优先完成江碧工业区改造，配套新建工业污水集中处理设施。</w:t>
            </w:r>
          </w:p>
        </w:tc>
        <w:tc>
          <w:tcPr>
            <w:tcW w:w="1612" w:type="dxa"/>
            <w:vAlign w:val="center"/>
          </w:tcPr>
          <w:p>
            <w:pPr>
              <w:spacing w:line="240" w:lineRule="atLeast"/>
              <w:rPr>
                <w:rFonts w:ascii="宋体" w:hAnsi="宋体" w:eastAsia="宋体" w:cs="Times New Roman"/>
                <w:sz w:val="22"/>
              </w:rPr>
            </w:pPr>
            <w:r>
              <w:rPr>
                <w:rFonts w:hint="eastAsia" w:ascii="宋体" w:hAnsi="宋体" w:eastAsia="宋体" w:cs="Times New Roman"/>
                <w:sz w:val="22"/>
              </w:rPr>
              <w:t>工业园改造的进展情况及完成数量。</w:t>
            </w:r>
          </w:p>
        </w:tc>
        <w:tc>
          <w:tcPr>
            <w:tcW w:w="5006" w:type="dxa"/>
            <w:vAlign w:val="center"/>
          </w:tcPr>
          <w:p>
            <w:pPr>
              <w:widowControl/>
              <w:spacing w:line="240" w:lineRule="auto"/>
              <w:jc w:val="left"/>
              <w:rPr>
                <w:rFonts w:hint="default" w:ascii="宋体" w:hAnsi="宋体" w:eastAsia="宋体" w:cs="宋体"/>
                <w:kern w:val="0"/>
                <w:sz w:val="24"/>
                <w:szCs w:val="24"/>
                <w:lang w:val="en-US" w:eastAsia="zh-CN"/>
              </w:rPr>
            </w:pPr>
            <w:r>
              <w:rPr>
                <w:rFonts w:hint="eastAsia" w:ascii="仿宋_GB2312" w:hAnsi="宋体" w:eastAsia="仿宋_GB2312" w:cs="Times New Roman"/>
                <w:sz w:val="24"/>
                <w:lang w:eastAsia="zh-CN"/>
              </w:rPr>
              <w:t>2019年我区计划完成3个园区的循环化改造工作。为此，我区制定了2019年工业园区循环化改造工作方案，明确了工作进度时间表。截至目前</w:t>
            </w:r>
            <w:r>
              <w:rPr>
                <w:rFonts w:hint="eastAsia" w:ascii="仿宋_GB2312" w:hAnsi="宋体" w:eastAsia="仿宋_GB2312" w:cs="Times New Roman"/>
                <w:sz w:val="24"/>
                <w:lang w:val="en-US" w:eastAsia="zh-CN"/>
              </w:rPr>
              <w:t>，已完成李朗国际珠宝产业园省级工业园区循环化改造示范园区的申报，并推动其入选2019年省循环化改造试点园区。同时，完成云里智能园、海吉星国际农产品物流园和红花岭环境园循环化改造实施方案。</w:t>
            </w:r>
          </w:p>
        </w:tc>
        <w:tc>
          <w:tcPr>
            <w:tcW w:w="1597" w:type="dxa"/>
            <w:vAlign w:val="center"/>
          </w:tcPr>
          <w:p>
            <w:pPr>
              <w:spacing w:line="240" w:lineRule="atLeast"/>
              <w:jc w:val="center"/>
              <w:rPr>
                <w:rFonts w:ascii="宋体" w:hAnsi="宋体" w:eastAsia="宋体" w:cs="Times New Roman"/>
                <w:sz w:val="22"/>
              </w:rPr>
            </w:pPr>
            <w:r>
              <w:rPr>
                <w:rFonts w:hint="eastAsia" w:ascii="宋体" w:hAnsi="宋体" w:eastAsia="宋体" w:cs="Times New Roman"/>
                <w:sz w:val="22"/>
              </w:rPr>
              <w:t>龙岗区发改局</w:t>
            </w:r>
          </w:p>
        </w:tc>
        <w:tc>
          <w:tcPr>
            <w:tcW w:w="1238" w:type="dxa"/>
            <w:vAlign w:val="center"/>
          </w:tcPr>
          <w:p>
            <w:pPr>
              <w:spacing w:line="240" w:lineRule="atLeast"/>
              <w:jc w:val="center"/>
              <w:rPr>
                <w:rFonts w:ascii="宋体" w:hAnsi="宋体" w:eastAsia="宋体" w:cs="Times New Roman"/>
                <w:sz w:val="22"/>
              </w:rPr>
            </w:pPr>
            <w:r>
              <w:rPr>
                <w:rFonts w:hint="eastAsia" w:ascii="宋体" w:hAnsi="宋体" w:eastAsia="宋体" w:cs="Times New Roman"/>
                <w:sz w:val="22"/>
              </w:rPr>
              <w:t>龙岗区</w:t>
            </w:r>
          </w:p>
        </w:tc>
        <w:tc>
          <w:tcPr>
            <w:tcW w:w="1134" w:type="dxa"/>
            <w:vAlign w:val="center"/>
          </w:tcPr>
          <w:p>
            <w:pPr>
              <w:spacing w:line="240" w:lineRule="atLeast"/>
              <w:rPr>
                <w:rFonts w:ascii="宋体" w:hAnsi="宋体" w:eastAsia="宋体" w:cs="Times New Roman"/>
                <w:sz w:val="22"/>
              </w:rPr>
            </w:pPr>
          </w:p>
        </w:tc>
      </w:tr>
    </w:tbl>
    <w:p>
      <w:pPr>
        <w:ind w:right="-256" w:rightChars="-122"/>
      </w:pPr>
    </w:p>
    <w:p>
      <w:pPr>
        <w:spacing w:line="360" w:lineRule="auto"/>
        <w:ind w:firstLine="640" w:firstLineChars="200"/>
        <w:rPr>
          <w:rFonts w:hint="eastAsia" w:ascii="仿宋_GB2312" w:eastAsia="仿宋_GB2312"/>
          <w:sz w:val="32"/>
          <w:szCs w:val="32"/>
        </w:rPr>
      </w:pPr>
    </w:p>
    <w:p/>
    <w:sectPr>
      <w:pgSz w:w="16838" w:h="11906" w:orient="landscape"/>
      <w:pgMar w:top="1800" w:right="1440" w:bottom="1702"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4119B5"/>
    <w:rsid w:val="2D4119B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2019-12-05T01:21:00Z</dcterms:created>
  <dc:creator>萧小玉</dc:creator>
  <cp:lastModifiedBy>萧小玉</cp:lastModifiedBy>
  <dcterms:modified xsi:type="dcterms:W3CDTF">2019-12-05T01:22:00Z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