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6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851"/>
        <w:gridCol w:w="1275"/>
        <w:gridCol w:w="6096"/>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02" w:type="dxa"/>
            <w:vAlign w:val="top"/>
          </w:tcPr>
          <w:p>
            <w:pPr>
              <w:spacing w:line="290" w:lineRule="exact"/>
              <w:rPr>
                <w:rFonts w:ascii="仿宋_GB2312" w:hAnsi="仿宋_GB2312" w:eastAsia="仿宋_GB2312" w:cs="仿宋_GB2312"/>
                <w:color w:val="auto"/>
                <w:sz w:val="24"/>
              </w:rPr>
            </w:pPr>
            <w:bookmarkStart w:id="0" w:name="_GoBack"/>
            <w:bookmarkEnd w:id="0"/>
          </w:p>
          <w:p>
            <w:pPr>
              <w:spacing w:line="290" w:lineRule="exact"/>
              <w:rPr>
                <w:rFonts w:ascii="仿宋_GB2312" w:hAnsi="仿宋_GB2312" w:eastAsia="仿宋_GB2312" w:cs="仿宋_GB2312"/>
                <w:color w:val="auto"/>
                <w:sz w:val="24"/>
              </w:rPr>
            </w:pPr>
          </w:p>
          <w:p>
            <w:pPr>
              <w:spacing w:line="290" w:lineRule="exact"/>
              <w:rPr>
                <w:rFonts w:ascii="仿宋_GB2312" w:hAnsi="仿宋_GB2312" w:eastAsia="仿宋_GB2312" w:cs="仿宋_GB2312"/>
                <w:color w:val="auto"/>
                <w:sz w:val="24"/>
              </w:rPr>
            </w:pPr>
          </w:p>
          <w:p>
            <w:pPr>
              <w:spacing w:line="290" w:lineRule="exact"/>
              <w:rPr>
                <w:rFonts w:ascii="仿宋_GB2312" w:hAnsi="仿宋_GB2312" w:eastAsia="仿宋_GB2312" w:cs="仿宋_GB2312"/>
                <w:color w:val="auto"/>
                <w:sz w:val="24"/>
              </w:rPr>
            </w:pPr>
          </w:p>
          <w:p>
            <w:pPr>
              <w:spacing w:line="290" w:lineRule="exact"/>
              <w:rPr>
                <w:rFonts w:ascii="仿宋_GB2312" w:hAnsi="仿宋_GB2312" w:eastAsia="仿宋_GB2312" w:cs="仿宋_GB2312"/>
                <w:color w:val="auto"/>
                <w:sz w:val="24"/>
              </w:rPr>
            </w:pPr>
          </w:p>
          <w:p>
            <w:pPr>
              <w:pStyle w:val="2"/>
              <w:rPr>
                <w:rFonts w:ascii="仿宋_GB2312" w:hAnsi="仿宋_GB2312" w:eastAsia="仿宋_GB2312" w:cs="仿宋_GB2312"/>
                <w:color w:val="auto"/>
                <w:sz w:val="24"/>
              </w:rPr>
            </w:pPr>
          </w:p>
          <w:p>
            <w:pPr>
              <w:pStyle w:val="2"/>
              <w:rPr>
                <w:rFonts w:ascii="仿宋_GB2312" w:hAnsi="仿宋_GB2312" w:eastAsia="仿宋_GB2312" w:cs="仿宋_GB2312"/>
                <w:color w:val="auto"/>
                <w:sz w:val="24"/>
              </w:rPr>
            </w:pPr>
          </w:p>
          <w:p>
            <w:pPr>
              <w:pStyle w:val="2"/>
              <w:rPr>
                <w:rFonts w:ascii="仿宋_GB2312" w:hAnsi="仿宋_GB2312" w:eastAsia="仿宋_GB2312" w:cs="仿宋_GB2312"/>
                <w:color w:val="auto"/>
                <w:sz w:val="24"/>
              </w:rPr>
            </w:pPr>
          </w:p>
          <w:p>
            <w:pPr>
              <w:spacing w:line="290" w:lineRule="exact"/>
              <w:rPr>
                <w:rFonts w:ascii="仿宋_GB2312" w:hAnsi="仿宋_GB2312" w:eastAsia="仿宋_GB2312" w:cs="仿宋_GB2312"/>
                <w:color w:val="auto"/>
                <w:sz w:val="24"/>
              </w:rPr>
            </w:pPr>
          </w:p>
          <w:p>
            <w:pPr>
              <w:spacing w:line="290" w:lineRule="exact"/>
              <w:rPr>
                <w:rFonts w:hint="eastAsia" w:ascii="仿宋_GB2312" w:eastAsia="仿宋_GB2312"/>
                <w:color w:val="auto"/>
                <w:sz w:val="24"/>
                <w:lang w:val="en-US" w:eastAsia="zh-CN"/>
              </w:rPr>
            </w:pPr>
            <w:r>
              <w:rPr>
                <w:rFonts w:hint="eastAsia" w:ascii="仿宋_GB2312" w:eastAsia="仿宋_GB2312"/>
                <w:color w:val="auto"/>
                <w:sz w:val="24"/>
                <w:lang w:val="en-US" w:eastAsia="zh-CN"/>
              </w:rPr>
              <w:t>1</w:t>
            </w:r>
          </w:p>
        </w:tc>
        <w:tc>
          <w:tcPr>
            <w:tcW w:w="851" w:type="dxa"/>
            <w:vAlign w:val="center"/>
          </w:tcPr>
          <w:p>
            <w:pPr>
              <w:spacing w:line="29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2018年</w:t>
            </w:r>
            <w:r>
              <w:rPr>
                <w:rFonts w:hint="eastAsia" w:ascii="仿宋_GB2312" w:hAnsi="仿宋_GB2312" w:eastAsia="仿宋_GB2312" w:cs="仿宋_GB2312"/>
                <w:color w:val="auto"/>
                <w:sz w:val="24"/>
                <w:lang w:val="en-US" w:eastAsia="zh-CN"/>
              </w:rPr>
              <w:t>6</w:t>
            </w:r>
            <w:r>
              <w:rPr>
                <w:rFonts w:hint="eastAsia" w:ascii="仿宋_GB2312" w:hAnsi="仿宋_GB2312" w:eastAsia="仿宋_GB2312" w:cs="仿宋_GB2312"/>
                <w:color w:val="auto"/>
                <w:sz w:val="24"/>
              </w:rPr>
              <w:t>月</w:t>
            </w:r>
            <w:r>
              <w:rPr>
                <w:rFonts w:hint="eastAsia" w:ascii="仿宋_GB2312" w:hAnsi="仿宋_GB2312" w:eastAsia="仿宋_GB2312" w:cs="仿宋_GB2312"/>
                <w:color w:val="auto"/>
                <w:sz w:val="24"/>
                <w:lang w:val="en-US" w:eastAsia="zh-CN"/>
              </w:rPr>
              <w:t>7</w:t>
            </w:r>
            <w:r>
              <w:rPr>
                <w:rFonts w:hint="eastAsia" w:ascii="仿宋_GB2312" w:hAnsi="仿宋_GB2312" w:eastAsia="仿宋_GB2312" w:cs="仿宋_GB2312"/>
                <w:color w:val="auto"/>
                <w:sz w:val="24"/>
              </w:rPr>
              <w:t>日</w:t>
            </w:r>
            <w:r>
              <w:rPr>
                <w:rFonts w:hint="eastAsia" w:ascii="仿宋_GB2312" w:hAnsi="仿宋_GB2312" w:eastAsia="仿宋_GB2312" w:cs="仿宋_GB2312"/>
                <w:b/>
                <w:color w:val="auto"/>
                <w:sz w:val="24"/>
              </w:rPr>
              <w:t>（</w:t>
            </w:r>
            <w:r>
              <w:rPr>
                <w:rFonts w:hint="eastAsia" w:ascii="仿宋_GB2312" w:hAnsi="仿宋_GB2312" w:eastAsia="仿宋_GB2312" w:cs="仿宋_GB2312"/>
                <w:b/>
                <w:color w:val="auto"/>
                <w:sz w:val="24"/>
                <w:lang w:val="en-US" w:eastAsia="zh-CN"/>
              </w:rPr>
              <w:t>事故科</w:t>
            </w:r>
            <w:r>
              <w:rPr>
                <w:rFonts w:hint="eastAsia" w:ascii="仿宋_GB2312" w:hAnsi="仿宋_GB2312" w:eastAsia="仿宋_GB2312" w:cs="仿宋_GB2312"/>
                <w:color w:val="auto"/>
                <w:sz w:val="24"/>
              </w:rPr>
              <w:t>）</w:t>
            </w:r>
          </w:p>
        </w:tc>
        <w:tc>
          <w:tcPr>
            <w:tcW w:w="1275" w:type="dxa"/>
            <w:vAlign w:val="center"/>
          </w:tcPr>
          <w:p>
            <w:pPr>
              <w:spacing w:line="290" w:lineRule="exact"/>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深圳市绿春翔农业科技有限公司“6.7”机械伤害一般死亡事故案</w:t>
            </w:r>
          </w:p>
        </w:tc>
        <w:tc>
          <w:tcPr>
            <w:tcW w:w="6096"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eastAsia="仿宋_GB2312"/>
                <w:color w:val="auto"/>
                <w:sz w:val="24"/>
              </w:rPr>
            </w:pPr>
            <w:r>
              <w:rPr>
                <w:rFonts w:hint="eastAsia" w:ascii="黑体" w:eastAsia="黑体"/>
                <w:color w:val="auto"/>
                <w:sz w:val="24"/>
              </w:rPr>
              <w:t>【案件所属辖区】</w:t>
            </w:r>
            <w:r>
              <w:rPr>
                <w:rFonts w:hint="eastAsia" w:ascii="仿宋_GB2312" w:eastAsia="仿宋_GB2312"/>
                <w:color w:val="auto"/>
                <w:sz w:val="24"/>
              </w:rPr>
              <w:t>：</w:t>
            </w:r>
            <w:r>
              <w:rPr>
                <w:rFonts w:hint="eastAsia" w:ascii="仿宋_GB2312" w:eastAsia="仿宋_GB2312"/>
                <w:color w:val="auto"/>
                <w:sz w:val="24"/>
                <w:lang w:eastAsia="zh-CN"/>
              </w:rPr>
              <w:t>平湖</w:t>
            </w:r>
            <w:r>
              <w:rPr>
                <w:rFonts w:hint="eastAsia" w:ascii="仿宋_GB2312" w:eastAsia="仿宋_GB2312"/>
                <w:color w:val="auto"/>
                <w:sz w:val="24"/>
              </w:rPr>
              <w:t>街道</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outlineLvl w:val="9"/>
              <w:rPr>
                <w:color w:val="auto"/>
              </w:rPr>
            </w:pPr>
          </w:p>
          <w:p>
            <w:pPr>
              <w:keepNext w:val="0"/>
              <w:keepLines w:val="0"/>
              <w:pageBreakBefore w:val="0"/>
              <w:widowControl w:val="0"/>
              <w:tabs>
                <w:tab w:val="left" w:pos="4481"/>
              </w:tabs>
              <w:kinsoku/>
              <w:wordWrap/>
              <w:overflowPunct/>
              <w:topLinePunct w:val="0"/>
              <w:autoSpaceDE/>
              <w:autoSpaceDN/>
              <w:bidi w:val="0"/>
              <w:adjustRightInd/>
              <w:snapToGrid/>
              <w:spacing w:line="280" w:lineRule="exact"/>
              <w:textAlignment w:val="auto"/>
              <w:outlineLvl w:val="9"/>
              <w:rPr>
                <w:rFonts w:hint="eastAsia" w:ascii="仿宋_GB2312" w:eastAsia="仿宋_GB2312"/>
                <w:color w:val="auto"/>
                <w:sz w:val="24"/>
              </w:rPr>
            </w:pPr>
            <w:r>
              <w:rPr>
                <w:rFonts w:hint="eastAsia" w:ascii="仿宋_GB2312" w:eastAsia="仿宋_GB2312"/>
                <w:color w:val="auto"/>
                <w:sz w:val="24"/>
              </w:rPr>
              <w:t>【</w:t>
            </w:r>
            <w:r>
              <w:rPr>
                <w:rFonts w:hint="eastAsia" w:ascii="黑体" w:eastAsia="黑体"/>
                <w:color w:val="auto"/>
                <w:sz w:val="24"/>
              </w:rPr>
              <w:t>案件基本情况】</w:t>
            </w:r>
            <w:r>
              <w:rPr>
                <w:rFonts w:hint="eastAsia" w:ascii="仿宋_GB2312" w:eastAsia="仿宋_GB2312"/>
                <w:color w:val="auto"/>
                <w:sz w:val="24"/>
              </w:rPr>
              <w:t>：2018年6月6日10时，深圳市绿春翔农业科技有限公司客服部李</w:t>
            </w:r>
            <w:r>
              <w:rPr>
                <w:rFonts w:hint="eastAsia" w:ascii="仿宋_GB2312" w:eastAsia="仿宋_GB2312"/>
                <w:color w:val="auto"/>
                <w:sz w:val="24"/>
                <w:lang w:eastAsia="zh-CN"/>
              </w:rPr>
              <w:t>某</w:t>
            </w:r>
            <w:r>
              <w:rPr>
                <w:rFonts w:hint="eastAsia" w:ascii="仿宋_GB2312" w:eastAsia="仿宋_GB2312"/>
                <w:color w:val="auto"/>
                <w:sz w:val="24"/>
              </w:rPr>
              <w:t>（死者）、余</w:t>
            </w:r>
            <w:r>
              <w:rPr>
                <w:rFonts w:hint="eastAsia" w:ascii="仿宋_GB2312" w:eastAsia="仿宋_GB2312"/>
                <w:color w:val="auto"/>
                <w:sz w:val="24"/>
                <w:lang w:eastAsia="zh-CN"/>
              </w:rPr>
              <w:t>某</w:t>
            </w:r>
            <w:r>
              <w:rPr>
                <w:rFonts w:hint="eastAsia" w:ascii="仿宋_GB2312" w:eastAsia="仿宋_GB2312"/>
                <w:color w:val="auto"/>
                <w:sz w:val="24"/>
              </w:rPr>
              <w:t>、张</w:t>
            </w:r>
            <w:r>
              <w:rPr>
                <w:rFonts w:hint="eastAsia" w:ascii="仿宋_GB2312" w:eastAsia="仿宋_GB2312"/>
                <w:color w:val="auto"/>
                <w:sz w:val="24"/>
                <w:lang w:eastAsia="zh-CN"/>
              </w:rPr>
              <w:t>某</w:t>
            </w:r>
            <w:r>
              <w:rPr>
                <w:rFonts w:hint="eastAsia" w:ascii="仿宋_GB2312" w:eastAsia="仿宋_GB2312"/>
                <w:color w:val="auto"/>
                <w:sz w:val="24"/>
              </w:rPr>
              <w:t>三人在办公楼204室上夜班，负责统计跟踪客户订单，并打印配送单给物流部。6月7日4时左右，李</w:t>
            </w:r>
            <w:r>
              <w:rPr>
                <w:rFonts w:hint="eastAsia" w:ascii="仿宋_GB2312" w:eastAsia="仿宋_GB2312"/>
                <w:color w:val="auto"/>
                <w:sz w:val="24"/>
                <w:lang w:eastAsia="zh-CN"/>
              </w:rPr>
              <w:t>某</w:t>
            </w:r>
            <w:r>
              <w:rPr>
                <w:rFonts w:hint="eastAsia" w:ascii="仿宋_GB2312" w:eastAsia="仿宋_GB2312"/>
                <w:color w:val="auto"/>
                <w:sz w:val="24"/>
              </w:rPr>
              <w:t>拿着配送单到一楼物流室后一直没回办公室。6时02分至6时30分，李卓卫就在物流室和蔬菜称重处闲逛。6时33分，李</w:t>
            </w:r>
            <w:r>
              <w:rPr>
                <w:rFonts w:hint="eastAsia" w:ascii="仿宋_GB2312" w:eastAsia="仿宋_GB2312"/>
                <w:color w:val="auto"/>
                <w:sz w:val="24"/>
                <w:lang w:eastAsia="zh-CN"/>
              </w:rPr>
              <w:t>某</w:t>
            </w:r>
            <w:r>
              <w:rPr>
                <w:rFonts w:hint="eastAsia" w:ascii="仿宋_GB2312" w:eastAsia="仿宋_GB2312"/>
                <w:color w:val="auto"/>
                <w:sz w:val="24"/>
              </w:rPr>
              <w:t>到二楼的鲜肉分割车间，鲜肉分拣工周</w:t>
            </w:r>
            <w:r>
              <w:rPr>
                <w:rFonts w:hint="eastAsia" w:ascii="仿宋_GB2312" w:eastAsia="仿宋_GB2312"/>
                <w:color w:val="auto"/>
                <w:sz w:val="24"/>
                <w:lang w:eastAsia="zh-CN"/>
              </w:rPr>
              <w:t>某</w:t>
            </w:r>
            <w:r>
              <w:rPr>
                <w:rFonts w:hint="eastAsia" w:ascii="仿宋_GB2312" w:eastAsia="仿宋_GB2312"/>
                <w:color w:val="auto"/>
                <w:sz w:val="24"/>
              </w:rPr>
              <w:t>看见李</w:t>
            </w:r>
            <w:r>
              <w:rPr>
                <w:rFonts w:hint="eastAsia" w:ascii="仿宋_GB2312" w:eastAsia="仿宋_GB2312"/>
                <w:color w:val="auto"/>
                <w:sz w:val="24"/>
                <w:lang w:eastAsia="zh-CN"/>
              </w:rPr>
              <w:t>栽</w:t>
            </w:r>
            <w:r>
              <w:rPr>
                <w:rFonts w:hint="eastAsia" w:ascii="仿宋_GB2312" w:eastAsia="仿宋_GB2312"/>
                <w:color w:val="auto"/>
                <w:sz w:val="24"/>
              </w:rPr>
              <w:t>拿了块猪肉就走了。6时47分，周</w:t>
            </w:r>
            <w:r>
              <w:rPr>
                <w:rFonts w:hint="eastAsia" w:ascii="仿宋_GB2312" w:eastAsia="仿宋_GB2312"/>
                <w:color w:val="auto"/>
                <w:sz w:val="24"/>
                <w:lang w:eastAsia="zh-CN"/>
              </w:rPr>
              <w:t>某</w:t>
            </w:r>
            <w:r>
              <w:rPr>
                <w:rFonts w:hint="eastAsia" w:ascii="仿宋_GB2312" w:eastAsia="仿宋_GB2312"/>
                <w:color w:val="auto"/>
                <w:sz w:val="24"/>
              </w:rPr>
              <w:t>从车间出来准备去吃早饭，发现李</w:t>
            </w:r>
            <w:r>
              <w:rPr>
                <w:rFonts w:hint="eastAsia" w:ascii="仿宋_GB2312" w:eastAsia="仿宋_GB2312"/>
                <w:color w:val="auto"/>
                <w:sz w:val="24"/>
                <w:lang w:eastAsia="zh-CN"/>
              </w:rPr>
              <w:t>某</w:t>
            </w:r>
            <w:r>
              <w:rPr>
                <w:rFonts w:hint="eastAsia" w:ascii="仿宋_GB2312" w:eastAsia="仿宋_GB2312"/>
                <w:color w:val="auto"/>
                <w:sz w:val="24"/>
              </w:rPr>
              <w:t>侧躺在二楼地面，左侧头部和左腿被夹在升降平台轿厢顶棚和楼层之间，眼镜和猪肉散落在地。周</w:t>
            </w:r>
            <w:r>
              <w:rPr>
                <w:rFonts w:hint="eastAsia" w:ascii="仿宋_GB2312" w:eastAsia="仿宋_GB2312"/>
                <w:color w:val="auto"/>
                <w:sz w:val="24"/>
                <w:lang w:eastAsia="zh-CN"/>
              </w:rPr>
              <w:t>某</w:t>
            </w:r>
            <w:r>
              <w:rPr>
                <w:rFonts w:hint="eastAsia" w:ascii="仿宋_GB2312" w:eastAsia="仿宋_GB2312"/>
                <w:color w:val="auto"/>
                <w:sz w:val="24"/>
              </w:rPr>
              <w:t>立即拨打120电话，李</w:t>
            </w:r>
            <w:r>
              <w:rPr>
                <w:rFonts w:hint="eastAsia" w:ascii="仿宋_GB2312" w:eastAsia="仿宋_GB2312"/>
                <w:color w:val="auto"/>
                <w:sz w:val="24"/>
                <w:lang w:eastAsia="zh-CN"/>
              </w:rPr>
              <w:t>某</w:t>
            </w:r>
            <w:r>
              <w:rPr>
                <w:rFonts w:hint="eastAsia" w:ascii="仿宋_GB2312" w:eastAsia="仿宋_GB2312"/>
                <w:color w:val="auto"/>
                <w:sz w:val="24"/>
              </w:rPr>
              <w:t>后经120现场抢救无效死亡。经查，深圳市绿春翔农业科技有限公司未按要求落实企业安全生产主体责任，安全管理不到位，安全管理制度不健全，对事故发生负有管理责任；深圳市绿春翔农业科技有限公司法定代表人李</w:t>
            </w:r>
            <w:r>
              <w:rPr>
                <w:rFonts w:hint="eastAsia" w:ascii="仿宋_GB2312" w:eastAsia="仿宋_GB2312"/>
                <w:color w:val="auto"/>
                <w:sz w:val="24"/>
                <w:lang w:eastAsia="zh-CN"/>
              </w:rPr>
              <w:t>某</w:t>
            </w:r>
            <w:r>
              <w:rPr>
                <w:rFonts w:hint="eastAsia" w:ascii="仿宋_GB2312" w:eastAsia="仿宋_GB2312"/>
                <w:color w:val="auto"/>
                <w:sz w:val="24"/>
              </w:rPr>
              <w:t>平未认真履行自身的安全管理职责，安全教育培训形式化，隐患排查治理不力，作业现场安全管理不到位，对事故发生负有领导责任。主要证据有：询问笔录和现场照片等。</w:t>
            </w:r>
          </w:p>
          <w:p>
            <w:pPr>
              <w:keepNext w:val="0"/>
              <w:keepLines w:val="0"/>
              <w:pageBreakBefore w:val="0"/>
              <w:widowControl w:val="0"/>
              <w:tabs>
                <w:tab w:val="left" w:pos="4481"/>
              </w:tabs>
              <w:kinsoku/>
              <w:wordWrap/>
              <w:overflowPunct/>
              <w:topLinePunct w:val="0"/>
              <w:autoSpaceDE/>
              <w:autoSpaceDN/>
              <w:bidi w:val="0"/>
              <w:adjustRightInd/>
              <w:snapToGrid/>
              <w:spacing w:line="280" w:lineRule="exact"/>
              <w:textAlignment w:val="auto"/>
              <w:outlineLvl w:val="9"/>
              <w:rPr>
                <w:rFonts w:hint="eastAsia" w:ascii="黑体" w:eastAsia="黑体"/>
                <w:color w:val="auto"/>
                <w:sz w:val="24"/>
              </w:rPr>
            </w:pPr>
            <w:r>
              <w:rPr>
                <w:rFonts w:hint="eastAsia" w:ascii="黑体" w:eastAsia="黑体"/>
                <w:color w:val="auto"/>
                <w:sz w:val="24"/>
              </w:rPr>
              <w:t>【</w:t>
            </w:r>
            <w:r>
              <w:rPr>
                <w:rFonts w:hint="eastAsia" w:ascii="黑体" w:eastAsia="黑体"/>
                <w:color w:val="auto"/>
                <w:sz w:val="24"/>
                <w:lang w:val="en-US" w:eastAsia="zh-CN"/>
              </w:rPr>
              <w:t>事故科</w:t>
            </w:r>
            <w:r>
              <w:rPr>
                <w:rFonts w:hint="eastAsia" w:ascii="黑体" w:eastAsia="黑体"/>
                <w:color w:val="auto"/>
                <w:sz w:val="24"/>
              </w:rPr>
              <w:t>意见】</w:t>
            </w:r>
            <w:r>
              <w:rPr>
                <w:rFonts w:hint="eastAsia" w:ascii="仿宋_GB2312" w:eastAsia="仿宋_GB2312"/>
                <w:color w:val="auto"/>
                <w:sz w:val="24"/>
              </w:rPr>
              <w:t>：</w:t>
            </w:r>
            <w:r>
              <w:rPr>
                <w:rFonts w:hint="eastAsia" w:ascii="仿宋_GB2312" w:eastAsia="仿宋_GB2312"/>
                <w:color w:val="auto"/>
                <w:sz w:val="24"/>
                <w:lang w:val="en-US" w:eastAsia="zh-CN"/>
              </w:rPr>
              <w:t>深圳市绿春翔农业科技有限公司违反了《中华人民共和国安全生产法》第二十二条第一、五项的规定，建议依据《中华人民共和国安全生产法》第一百零九条第一项，参照《深圳市安全生产行政处罚自由裁量权实施标准（2017版）》违法编号2015，对该公司处以罚款贰拾贰万元的行政处罚；深圳市绿春翔农业科技有限公司法定代表人李某平违反了《中华人民共和国安全生产法》第十八条第一、五项的规定，建议依据《中华人民共和国安全生产法》第九十二条第一项，参照《深圳市安全生产行政处罚自由裁量权实施标准（2017版）》违法编号2001的规定，对李某平处以上一年年收入柒万肆仟元百分之三十的罚款贰万贰仟贰佰元的行政处罚。</w:t>
            </w:r>
          </w:p>
        </w:tc>
        <w:tc>
          <w:tcPr>
            <w:tcW w:w="5953" w:type="dxa"/>
            <w:vAlign w:val="center"/>
          </w:tcPr>
          <w:p>
            <w:pPr>
              <w:keepNext w:val="0"/>
              <w:keepLines w:val="0"/>
              <w:pageBreakBefore w:val="0"/>
              <w:widowControl w:val="0"/>
              <w:kinsoku/>
              <w:wordWrap/>
              <w:overflowPunct/>
              <w:topLinePunct w:val="0"/>
              <w:autoSpaceDE/>
              <w:autoSpaceDN/>
              <w:bidi w:val="0"/>
              <w:adjustRightInd/>
              <w:snapToGrid/>
              <w:spacing w:line="300" w:lineRule="atLeast"/>
              <w:ind w:firstLine="240" w:firstLineChars="100"/>
              <w:textAlignment w:val="auto"/>
              <w:outlineLvl w:val="9"/>
              <w:rPr>
                <w:rFonts w:hint="eastAsia" w:ascii="仿宋_GB2312" w:hAnsi="仿宋_GB2312" w:eastAsia="仿宋_GB2312" w:cs="仿宋_GB2312"/>
                <w:bCs/>
                <w:color w:val="auto"/>
                <w:sz w:val="24"/>
                <w:lang w:bidi="ar"/>
              </w:rPr>
            </w:pPr>
            <w:r>
              <w:rPr>
                <w:rFonts w:hint="eastAsia" w:ascii="仿宋_GB2312" w:hAnsi="仿宋_GB2312" w:eastAsia="仿宋_GB2312" w:cs="仿宋_GB2312"/>
                <w:bCs/>
                <w:color w:val="auto"/>
                <w:sz w:val="24"/>
                <w:lang w:eastAsia="zh-CN" w:bidi="ar"/>
              </w:rPr>
              <w:t>《</w:t>
            </w:r>
            <w:r>
              <w:rPr>
                <w:rFonts w:hint="eastAsia" w:ascii="仿宋_GB2312" w:hAnsi="仿宋_GB2312" w:eastAsia="仿宋_GB2312" w:cs="仿宋_GB2312"/>
                <w:bCs/>
                <w:color w:val="auto"/>
                <w:sz w:val="24"/>
                <w:lang w:bidi="ar"/>
              </w:rPr>
              <w:t>深圳市安全生产行政处罚自由裁量权实施标准（2017版）》违法编号2015，事故发生单位对事故发生负有责任的</w:t>
            </w:r>
          </w:p>
          <w:p>
            <w:pPr>
              <w:keepNext w:val="0"/>
              <w:keepLines w:val="0"/>
              <w:pageBreakBefore w:val="0"/>
              <w:widowControl w:val="0"/>
              <w:kinsoku/>
              <w:wordWrap/>
              <w:overflowPunct/>
              <w:topLinePunct w:val="0"/>
              <w:autoSpaceDE/>
              <w:autoSpaceDN/>
              <w:bidi w:val="0"/>
              <w:adjustRightInd/>
              <w:snapToGrid/>
              <w:spacing w:line="300" w:lineRule="atLeast"/>
              <w:ind w:firstLine="480" w:firstLineChars="200"/>
              <w:textAlignment w:val="auto"/>
              <w:outlineLvl w:val="9"/>
              <w:rPr>
                <w:rFonts w:hint="eastAsia" w:ascii="仿宋_GB2312" w:hAnsi="仿宋_GB2312" w:eastAsia="仿宋_GB2312" w:cs="仿宋_GB2312"/>
                <w:color w:val="auto"/>
                <w:sz w:val="24"/>
                <w:shd w:val="clear" w:color="auto" w:fill="FFFFFF"/>
              </w:rPr>
            </w:pPr>
            <w:r>
              <w:rPr>
                <w:rFonts w:hint="eastAsia" w:ascii="仿宋_GB2312" w:hAnsi="仿宋_GB2312" w:eastAsia="仿宋_GB2312" w:cs="仿宋_GB2312"/>
                <w:color w:val="auto"/>
                <w:sz w:val="24"/>
                <w:shd w:val="clear" w:color="auto" w:fill="FFFFFF"/>
              </w:rPr>
              <w:t>◆事故发生单位对一般事故负有责任的，按以下标准处以罚款：</w:t>
            </w:r>
          </w:p>
          <w:p>
            <w:pPr>
              <w:keepNext w:val="0"/>
              <w:keepLines w:val="0"/>
              <w:pageBreakBefore w:val="0"/>
              <w:widowControl w:val="0"/>
              <w:kinsoku/>
              <w:wordWrap/>
              <w:overflowPunct/>
              <w:topLinePunct w:val="0"/>
              <w:autoSpaceDE/>
              <w:autoSpaceDN/>
              <w:bidi w:val="0"/>
              <w:adjustRightInd/>
              <w:snapToGrid/>
              <w:spacing w:line="300" w:lineRule="atLeast"/>
              <w:textAlignment w:val="auto"/>
              <w:outlineLvl w:val="9"/>
              <w:rPr>
                <w:rFonts w:hint="eastAsia" w:ascii="仿宋_GB2312" w:hAnsi="仿宋_GB2312" w:eastAsia="仿宋_GB2312" w:cs="仿宋_GB2312"/>
                <w:color w:val="auto"/>
                <w:sz w:val="24"/>
                <w:shd w:val="clear" w:color="auto" w:fill="FFFFFF"/>
              </w:rPr>
            </w:pPr>
            <w:r>
              <w:rPr>
                <w:rFonts w:hint="eastAsia" w:ascii="仿宋_GB2312" w:hAnsi="仿宋_GB2312" w:eastAsia="仿宋_GB2312" w:cs="仿宋_GB2312"/>
                <w:color w:val="auto"/>
                <w:sz w:val="24"/>
                <w:shd w:val="clear" w:color="auto" w:fill="FFFFFF"/>
              </w:rPr>
              <w:t>（1）死亡1人或重伤3-5人或造成经济损失300万元以上600万元以下的，罚款22万元；</w:t>
            </w:r>
          </w:p>
          <w:p>
            <w:pPr>
              <w:keepNext w:val="0"/>
              <w:keepLines w:val="0"/>
              <w:pageBreakBefore w:val="0"/>
              <w:widowControl w:val="0"/>
              <w:kinsoku/>
              <w:wordWrap/>
              <w:overflowPunct/>
              <w:topLinePunct w:val="0"/>
              <w:autoSpaceDE/>
              <w:autoSpaceDN/>
              <w:bidi w:val="0"/>
              <w:adjustRightInd/>
              <w:snapToGrid/>
              <w:spacing w:line="300" w:lineRule="atLeast"/>
              <w:textAlignment w:val="auto"/>
              <w:outlineLvl w:val="9"/>
              <w:rPr>
                <w:rFonts w:hint="eastAsia" w:ascii="仿宋_GB2312" w:hAnsi="仿宋_GB2312" w:eastAsia="仿宋_GB2312" w:cs="仿宋_GB2312"/>
                <w:color w:val="auto"/>
                <w:sz w:val="24"/>
                <w:shd w:val="clear" w:color="auto" w:fill="FFFFFF"/>
              </w:rPr>
            </w:pPr>
            <w:r>
              <w:rPr>
                <w:rFonts w:hint="eastAsia" w:ascii="仿宋_GB2312" w:hAnsi="仿宋_GB2312" w:eastAsia="仿宋_GB2312" w:cs="仿宋_GB2312"/>
                <w:color w:val="auto"/>
                <w:sz w:val="24"/>
                <w:shd w:val="clear" w:color="auto" w:fill="FFFFFF"/>
              </w:rPr>
              <w:t>（2）死亡2人或重伤6-9人或造成经济损失600万元以上1000万元以下的，罚款30万元；</w:t>
            </w:r>
          </w:p>
          <w:p>
            <w:pPr>
              <w:keepNext w:val="0"/>
              <w:keepLines w:val="0"/>
              <w:pageBreakBefore w:val="0"/>
              <w:widowControl w:val="0"/>
              <w:kinsoku/>
              <w:wordWrap/>
              <w:overflowPunct/>
              <w:topLinePunct w:val="0"/>
              <w:autoSpaceDE/>
              <w:autoSpaceDN/>
              <w:bidi w:val="0"/>
              <w:adjustRightInd/>
              <w:snapToGrid/>
              <w:spacing w:line="300" w:lineRule="atLeast"/>
              <w:textAlignment w:val="auto"/>
              <w:outlineLvl w:val="9"/>
              <w:rPr>
                <w:rFonts w:hint="eastAsia" w:ascii="仿宋_GB2312" w:hAnsi="仿宋_GB2312" w:eastAsia="仿宋_GB2312" w:cs="仿宋_GB2312"/>
                <w:color w:val="auto"/>
                <w:sz w:val="24"/>
                <w:shd w:val="clear" w:color="auto" w:fill="FFFFFF"/>
              </w:rPr>
            </w:pPr>
            <w:r>
              <w:rPr>
                <w:rFonts w:hint="eastAsia" w:ascii="仿宋_GB2312" w:hAnsi="仿宋_GB2312" w:eastAsia="仿宋_GB2312" w:cs="仿宋_GB2312"/>
                <w:color w:val="auto"/>
                <w:sz w:val="24"/>
                <w:shd w:val="clear" w:color="auto" w:fill="FFFFFF"/>
              </w:rPr>
              <w:t>（3）造成1人或2人死亡，同时造成1人以上10人以下重伤的，每增加1人重伤，增加罚款5万元，罚款最高按49.5万元执行；</w:t>
            </w:r>
          </w:p>
          <w:p>
            <w:pPr>
              <w:keepNext w:val="0"/>
              <w:keepLines w:val="0"/>
              <w:pageBreakBefore w:val="0"/>
              <w:widowControl w:val="0"/>
              <w:kinsoku/>
              <w:wordWrap/>
              <w:overflowPunct/>
              <w:topLinePunct w:val="0"/>
              <w:autoSpaceDE/>
              <w:autoSpaceDN/>
              <w:bidi w:val="0"/>
              <w:adjustRightInd/>
              <w:snapToGrid/>
              <w:spacing w:line="300" w:lineRule="atLeast"/>
              <w:ind w:firstLine="240" w:firstLineChars="100"/>
              <w:textAlignment w:val="auto"/>
              <w:outlineLvl w:val="9"/>
              <w:rPr>
                <w:rFonts w:hint="eastAsia" w:ascii="仿宋_GB2312" w:hAnsi="仿宋_GB2312" w:eastAsia="仿宋_GB2312" w:cs="仿宋_GB2312"/>
                <w:bCs/>
                <w:color w:val="auto"/>
                <w:sz w:val="24"/>
                <w:lang w:bidi="ar"/>
              </w:rPr>
            </w:pPr>
            <w:r>
              <w:rPr>
                <w:rFonts w:hint="eastAsia" w:ascii="仿宋_GB2312" w:hAnsi="仿宋_GB2312" w:eastAsia="仿宋_GB2312" w:cs="仿宋_GB2312"/>
                <w:bCs/>
                <w:color w:val="auto"/>
                <w:sz w:val="24"/>
                <w:lang w:eastAsia="zh-CN" w:bidi="ar"/>
              </w:rPr>
              <w:t>《</w:t>
            </w:r>
            <w:r>
              <w:rPr>
                <w:rFonts w:hint="eastAsia" w:ascii="仿宋_GB2312" w:hAnsi="仿宋_GB2312" w:eastAsia="仿宋_GB2312" w:cs="仿宋_GB2312"/>
                <w:bCs/>
                <w:color w:val="auto"/>
                <w:sz w:val="24"/>
                <w:lang w:bidi="ar"/>
              </w:rPr>
              <w:t>深圳市安全生产行政处罚自由裁量权实施标准（2017版）》违法编号</w:t>
            </w:r>
            <w:r>
              <w:rPr>
                <w:rFonts w:hint="eastAsia" w:ascii="仿宋_GB2312" w:hAnsi="仿宋_GB2312" w:eastAsia="仿宋_GB2312" w:cs="仿宋_GB2312"/>
                <w:bCs/>
                <w:color w:val="auto"/>
                <w:sz w:val="24"/>
                <w:lang w:val="en-US" w:eastAsia="zh-CN" w:bidi="ar"/>
              </w:rPr>
              <w:t>2001</w:t>
            </w:r>
            <w:r>
              <w:rPr>
                <w:rFonts w:hint="eastAsia" w:ascii="仿宋_GB2312" w:hAnsi="仿宋_GB2312" w:eastAsia="仿宋_GB2312" w:cs="仿宋_GB2312"/>
                <w:bCs/>
                <w:color w:val="auto"/>
                <w:sz w:val="24"/>
                <w:lang w:bidi="ar"/>
              </w:rPr>
              <w:t>，</w:t>
            </w:r>
            <w:r>
              <w:rPr>
                <w:rFonts w:hint="eastAsia" w:ascii="仿宋_GB2312" w:hAnsi="仿宋_GB2312" w:eastAsia="仿宋_GB2312" w:cs="仿宋_GB2312"/>
                <w:color w:val="auto"/>
                <w:sz w:val="24"/>
              </w:rPr>
              <w:t>因生产经营单位的主要负责人未履行《安全生产法》规定的安全生产管理职责而导致事故发生的</w:t>
            </w:r>
          </w:p>
          <w:p>
            <w:pPr>
              <w:keepNext w:val="0"/>
              <w:keepLines w:val="0"/>
              <w:pageBreakBefore w:val="0"/>
              <w:widowControl w:val="0"/>
              <w:kinsoku/>
              <w:wordWrap/>
              <w:overflowPunct/>
              <w:topLinePunct w:val="0"/>
              <w:autoSpaceDE/>
              <w:autoSpaceDN/>
              <w:bidi w:val="0"/>
              <w:adjustRightInd/>
              <w:snapToGrid/>
              <w:spacing w:line="300" w:lineRule="atLeast"/>
              <w:ind w:firstLine="480" w:firstLineChars="200"/>
              <w:textAlignment w:val="auto"/>
              <w:rPr>
                <w:rFonts w:hint="eastAsia" w:ascii="仿宋_GB2312" w:hAnsi="仿宋_GB2312" w:eastAsia="仿宋_GB2312" w:cs="仿宋_GB2312"/>
                <w:color w:val="auto"/>
                <w:sz w:val="24"/>
                <w:shd w:val="clear" w:color="auto" w:fill="FFFFFF"/>
              </w:rPr>
            </w:pPr>
            <w:r>
              <w:rPr>
                <w:rFonts w:hint="eastAsia" w:ascii="仿宋_GB2312" w:hAnsi="仿宋_GB2312" w:eastAsia="仿宋_GB2312" w:cs="仿宋_GB2312"/>
                <w:color w:val="auto"/>
                <w:sz w:val="24"/>
                <w:shd w:val="clear" w:color="auto" w:fill="FFFFFF"/>
              </w:rPr>
              <w:t>◆对生产经营单位的主要负责人依照以下规定处以罚款：</w:t>
            </w:r>
          </w:p>
          <w:p>
            <w:pPr>
              <w:keepNext w:val="0"/>
              <w:keepLines w:val="0"/>
              <w:pageBreakBefore w:val="0"/>
              <w:widowControl w:val="0"/>
              <w:kinsoku/>
              <w:wordWrap/>
              <w:overflowPunct/>
              <w:topLinePunct w:val="0"/>
              <w:autoSpaceDE/>
              <w:autoSpaceDN/>
              <w:bidi w:val="0"/>
              <w:adjustRightInd/>
              <w:snapToGrid/>
              <w:spacing w:line="300" w:lineRule="atLeast"/>
              <w:ind w:firstLine="480" w:firstLineChars="200"/>
              <w:textAlignment w:val="auto"/>
              <w:rPr>
                <w:rFonts w:hint="eastAsia" w:ascii="仿宋_GB2312" w:hAnsi="仿宋_GB2312" w:eastAsia="仿宋_GB2312" w:cs="仿宋_GB2312"/>
                <w:color w:val="auto"/>
                <w:sz w:val="24"/>
                <w:shd w:val="clear" w:color="auto" w:fill="FFFFFF"/>
              </w:rPr>
            </w:pPr>
            <w:r>
              <w:rPr>
                <w:rFonts w:hint="eastAsia" w:ascii="仿宋_GB2312" w:hAnsi="仿宋_GB2312" w:eastAsia="仿宋_GB2312" w:cs="仿宋_GB2312"/>
                <w:color w:val="auto"/>
                <w:sz w:val="24"/>
                <w:shd w:val="clear" w:color="auto" w:fill="FFFFFF"/>
              </w:rPr>
              <w:t>（一）发生一般事故的，处上一年年收入百分之三十的罚款。</w:t>
            </w:r>
          </w:p>
          <w:p>
            <w:pPr>
              <w:keepNext w:val="0"/>
              <w:keepLines w:val="0"/>
              <w:pageBreakBefore w:val="0"/>
              <w:widowControl w:val="0"/>
              <w:kinsoku/>
              <w:wordWrap/>
              <w:overflowPunct/>
              <w:topLinePunct w:val="0"/>
              <w:autoSpaceDE/>
              <w:autoSpaceDN/>
              <w:bidi w:val="0"/>
              <w:adjustRightInd/>
              <w:snapToGrid/>
              <w:spacing w:line="300" w:lineRule="atLeast"/>
              <w:ind w:firstLine="480" w:firstLineChars="200"/>
              <w:textAlignment w:val="auto"/>
              <w:rPr>
                <w:rFonts w:hint="eastAsia" w:ascii="仿宋_GB2312" w:hAnsi="仿宋_GB2312" w:eastAsia="仿宋_GB2312" w:cs="仿宋_GB2312"/>
                <w:color w:val="auto"/>
                <w:sz w:val="24"/>
                <w:shd w:val="clear" w:color="auto" w:fill="FFFFFF"/>
              </w:rPr>
            </w:pPr>
            <w:r>
              <w:rPr>
                <w:rFonts w:hint="eastAsia" w:ascii="仿宋_GB2312" w:hAnsi="仿宋_GB2312" w:eastAsia="仿宋_GB2312" w:cs="仿宋_GB2312"/>
                <w:color w:val="auto"/>
                <w:sz w:val="24"/>
                <w:shd w:val="clear" w:color="auto" w:fill="FFFFFF"/>
              </w:rPr>
              <w:t xml:space="preserve">（二）发生较大事故的，处上一年年收入百分之四十的罚款； </w:t>
            </w:r>
          </w:p>
          <w:p>
            <w:pPr>
              <w:keepNext w:val="0"/>
              <w:keepLines w:val="0"/>
              <w:pageBreakBefore w:val="0"/>
              <w:widowControl w:val="0"/>
              <w:kinsoku/>
              <w:wordWrap/>
              <w:overflowPunct/>
              <w:topLinePunct w:val="0"/>
              <w:autoSpaceDE/>
              <w:autoSpaceDN/>
              <w:bidi w:val="0"/>
              <w:adjustRightInd/>
              <w:snapToGrid/>
              <w:spacing w:line="300" w:lineRule="atLeast"/>
              <w:ind w:firstLine="480" w:firstLineChars="200"/>
              <w:textAlignment w:val="auto"/>
              <w:rPr>
                <w:rFonts w:hint="eastAsia" w:ascii="仿宋_GB2312" w:hAnsi="仿宋_GB2312" w:eastAsia="仿宋_GB2312" w:cs="仿宋_GB2312"/>
                <w:color w:val="auto"/>
                <w:sz w:val="24"/>
                <w:shd w:val="clear" w:color="auto" w:fill="FFFFFF"/>
              </w:rPr>
            </w:pPr>
            <w:r>
              <w:rPr>
                <w:rFonts w:hint="eastAsia" w:ascii="仿宋_GB2312" w:hAnsi="仿宋_GB2312" w:eastAsia="仿宋_GB2312" w:cs="仿宋_GB2312"/>
                <w:color w:val="auto"/>
                <w:sz w:val="24"/>
                <w:shd w:val="clear" w:color="auto" w:fill="FFFFFF"/>
              </w:rPr>
              <w:t xml:space="preserve">（三）发生重大事故的，处上一年年收入百分之六十的罚款； </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shd w:val="clear" w:color="auto" w:fill="FFFFFF"/>
              </w:rPr>
              <w:t>（四）发生特别重大事故的，处上一年年收入百分之八十的罚款。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02" w:type="dxa"/>
            <w:vAlign w:val="top"/>
          </w:tcPr>
          <w:p>
            <w:pPr>
              <w:spacing w:line="290" w:lineRule="exact"/>
              <w:rPr>
                <w:rFonts w:ascii="仿宋_GB2312" w:hAnsi="仿宋_GB2312" w:eastAsia="仿宋_GB2312" w:cs="仿宋_GB2312"/>
                <w:color w:val="auto"/>
                <w:sz w:val="24"/>
              </w:rPr>
            </w:pPr>
          </w:p>
          <w:p>
            <w:pPr>
              <w:spacing w:line="290" w:lineRule="exact"/>
              <w:rPr>
                <w:rFonts w:ascii="仿宋_GB2312" w:hAnsi="仿宋_GB2312" w:eastAsia="仿宋_GB2312" w:cs="仿宋_GB2312"/>
                <w:color w:val="auto"/>
                <w:sz w:val="24"/>
              </w:rPr>
            </w:pPr>
          </w:p>
          <w:p>
            <w:pPr>
              <w:spacing w:line="290" w:lineRule="exact"/>
              <w:rPr>
                <w:rFonts w:ascii="仿宋_GB2312" w:hAnsi="仿宋_GB2312" w:eastAsia="仿宋_GB2312" w:cs="仿宋_GB2312"/>
                <w:color w:val="auto"/>
                <w:sz w:val="24"/>
              </w:rPr>
            </w:pPr>
          </w:p>
          <w:p>
            <w:pPr>
              <w:spacing w:line="290" w:lineRule="exact"/>
              <w:rPr>
                <w:rFonts w:ascii="仿宋_GB2312" w:hAnsi="仿宋_GB2312" w:eastAsia="仿宋_GB2312" w:cs="仿宋_GB2312"/>
                <w:color w:val="auto"/>
                <w:sz w:val="24"/>
              </w:rPr>
            </w:pPr>
          </w:p>
          <w:p>
            <w:pPr>
              <w:spacing w:line="290" w:lineRule="exact"/>
              <w:rPr>
                <w:rFonts w:ascii="仿宋_GB2312" w:hAnsi="仿宋_GB2312" w:eastAsia="仿宋_GB2312" w:cs="仿宋_GB2312"/>
                <w:color w:val="auto"/>
                <w:sz w:val="24"/>
              </w:rPr>
            </w:pPr>
          </w:p>
          <w:p>
            <w:pPr>
              <w:pStyle w:val="2"/>
              <w:rPr>
                <w:rFonts w:ascii="仿宋_GB2312" w:hAnsi="仿宋_GB2312" w:eastAsia="仿宋_GB2312" w:cs="仿宋_GB2312"/>
                <w:color w:val="auto"/>
                <w:sz w:val="24"/>
              </w:rPr>
            </w:pPr>
          </w:p>
          <w:p>
            <w:pPr>
              <w:pStyle w:val="2"/>
              <w:rPr>
                <w:rFonts w:ascii="仿宋_GB2312" w:hAnsi="仿宋_GB2312" w:eastAsia="仿宋_GB2312" w:cs="仿宋_GB2312"/>
                <w:color w:val="auto"/>
                <w:sz w:val="24"/>
              </w:rPr>
            </w:pPr>
          </w:p>
          <w:p>
            <w:pPr>
              <w:pStyle w:val="2"/>
              <w:rPr>
                <w:rFonts w:ascii="仿宋_GB2312" w:hAnsi="仿宋_GB2312" w:eastAsia="仿宋_GB2312" w:cs="仿宋_GB2312"/>
                <w:color w:val="auto"/>
                <w:sz w:val="24"/>
              </w:rPr>
            </w:pPr>
          </w:p>
          <w:p>
            <w:pPr>
              <w:spacing w:line="290" w:lineRule="exact"/>
              <w:rPr>
                <w:rFonts w:ascii="仿宋_GB2312" w:hAnsi="仿宋_GB2312" w:eastAsia="仿宋_GB2312" w:cs="仿宋_GB2312"/>
                <w:color w:val="auto"/>
                <w:sz w:val="24"/>
              </w:rPr>
            </w:pPr>
          </w:p>
          <w:p>
            <w:pPr>
              <w:spacing w:line="290" w:lineRule="exact"/>
              <w:rPr>
                <w:rFonts w:hint="eastAsia" w:ascii="仿宋_GB2312" w:eastAsia="仿宋_GB2312"/>
                <w:color w:val="auto"/>
                <w:sz w:val="24"/>
                <w:lang w:val="en-US" w:eastAsia="zh-CN"/>
              </w:rPr>
            </w:pPr>
            <w:r>
              <w:rPr>
                <w:rFonts w:hint="eastAsia" w:ascii="仿宋_GB2312" w:eastAsia="仿宋_GB2312"/>
                <w:color w:val="auto"/>
                <w:sz w:val="24"/>
                <w:lang w:val="en-US" w:eastAsia="zh-CN"/>
              </w:rPr>
              <w:t>2</w:t>
            </w:r>
          </w:p>
        </w:tc>
        <w:tc>
          <w:tcPr>
            <w:tcW w:w="851" w:type="dxa"/>
            <w:vAlign w:val="center"/>
          </w:tcPr>
          <w:p>
            <w:pPr>
              <w:spacing w:line="29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2018年</w:t>
            </w:r>
            <w:r>
              <w:rPr>
                <w:rFonts w:hint="eastAsia" w:ascii="仿宋_GB2312" w:hAnsi="仿宋_GB2312" w:eastAsia="仿宋_GB2312" w:cs="仿宋_GB2312"/>
                <w:color w:val="auto"/>
                <w:sz w:val="24"/>
                <w:lang w:val="en-US" w:eastAsia="zh-CN"/>
              </w:rPr>
              <w:t>5</w:t>
            </w:r>
            <w:r>
              <w:rPr>
                <w:rFonts w:hint="eastAsia" w:ascii="仿宋_GB2312" w:hAnsi="仿宋_GB2312" w:eastAsia="仿宋_GB2312" w:cs="仿宋_GB2312"/>
                <w:color w:val="auto"/>
                <w:sz w:val="24"/>
              </w:rPr>
              <w:t>月</w:t>
            </w:r>
            <w:r>
              <w:rPr>
                <w:rFonts w:hint="eastAsia" w:ascii="仿宋_GB2312" w:hAnsi="仿宋_GB2312" w:eastAsia="仿宋_GB2312" w:cs="仿宋_GB2312"/>
                <w:color w:val="auto"/>
                <w:sz w:val="24"/>
                <w:lang w:val="en-US" w:eastAsia="zh-CN"/>
              </w:rPr>
              <w:t>15</w:t>
            </w:r>
            <w:r>
              <w:rPr>
                <w:rFonts w:hint="eastAsia" w:ascii="仿宋_GB2312" w:hAnsi="仿宋_GB2312" w:eastAsia="仿宋_GB2312" w:cs="仿宋_GB2312"/>
                <w:color w:val="auto"/>
                <w:sz w:val="24"/>
              </w:rPr>
              <w:t>日</w:t>
            </w:r>
            <w:r>
              <w:rPr>
                <w:rFonts w:hint="eastAsia" w:ascii="仿宋_GB2312" w:hAnsi="仿宋_GB2312" w:eastAsia="仿宋_GB2312" w:cs="仿宋_GB2312"/>
                <w:b/>
                <w:color w:val="auto"/>
                <w:sz w:val="24"/>
              </w:rPr>
              <w:t>（</w:t>
            </w:r>
            <w:r>
              <w:rPr>
                <w:rFonts w:hint="eastAsia" w:ascii="仿宋_GB2312" w:hAnsi="仿宋_GB2312" w:eastAsia="仿宋_GB2312" w:cs="仿宋_GB2312"/>
                <w:b/>
                <w:color w:val="auto"/>
                <w:sz w:val="24"/>
                <w:lang w:val="en-US" w:eastAsia="zh-CN"/>
              </w:rPr>
              <w:t>事故科</w:t>
            </w:r>
            <w:r>
              <w:rPr>
                <w:rFonts w:hint="eastAsia" w:ascii="仿宋_GB2312" w:hAnsi="仿宋_GB2312" w:eastAsia="仿宋_GB2312" w:cs="仿宋_GB2312"/>
                <w:color w:val="auto"/>
                <w:sz w:val="24"/>
              </w:rPr>
              <w:t>）</w:t>
            </w:r>
          </w:p>
        </w:tc>
        <w:tc>
          <w:tcPr>
            <w:tcW w:w="1275" w:type="dxa"/>
            <w:vAlign w:val="center"/>
          </w:tcPr>
          <w:p>
            <w:pPr>
              <w:spacing w:line="290" w:lineRule="exact"/>
              <w:rPr>
                <w:rFonts w:hint="eastAsia" w:ascii="仿宋_GB2312" w:hAnsi="仿宋_GB2312" w:eastAsia="仿宋_GB2312" w:cs="仿宋_GB2312"/>
                <w:color w:val="auto"/>
                <w:sz w:val="24"/>
              </w:rPr>
            </w:pPr>
          </w:p>
          <w:p>
            <w:pPr>
              <w:spacing w:line="29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睢县荣源运输有限公司“5•15”物体打击一般死亡事故案</w:t>
            </w:r>
          </w:p>
        </w:tc>
        <w:tc>
          <w:tcPr>
            <w:tcW w:w="6096"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eastAsia="仿宋_GB2312"/>
                <w:color w:val="auto"/>
                <w:sz w:val="24"/>
              </w:rPr>
            </w:pPr>
            <w:r>
              <w:rPr>
                <w:rFonts w:hint="eastAsia" w:ascii="黑体" w:eastAsia="黑体"/>
                <w:color w:val="auto"/>
                <w:sz w:val="24"/>
              </w:rPr>
              <w:t>【案件所属辖区】</w:t>
            </w:r>
            <w:r>
              <w:rPr>
                <w:rFonts w:hint="eastAsia" w:ascii="仿宋_GB2312" w:eastAsia="仿宋_GB2312"/>
                <w:color w:val="auto"/>
                <w:sz w:val="24"/>
              </w:rPr>
              <w:t>：</w:t>
            </w:r>
            <w:r>
              <w:rPr>
                <w:rFonts w:hint="eastAsia" w:ascii="仿宋_GB2312" w:eastAsia="仿宋_GB2312"/>
                <w:color w:val="auto"/>
                <w:sz w:val="24"/>
                <w:lang w:val="en-US" w:eastAsia="zh-CN"/>
              </w:rPr>
              <w:t>坪地</w:t>
            </w:r>
            <w:r>
              <w:rPr>
                <w:rFonts w:hint="eastAsia" w:ascii="仿宋_GB2312" w:eastAsia="仿宋_GB2312"/>
                <w:color w:val="auto"/>
                <w:sz w:val="24"/>
              </w:rPr>
              <w:t>街道</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outlineLvl w:val="9"/>
              <w:rPr>
                <w:color w:val="auto"/>
              </w:rPr>
            </w:pPr>
          </w:p>
          <w:p>
            <w:pPr>
              <w:keepNext w:val="0"/>
              <w:keepLines w:val="0"/>
              <w:pageBreakBefore w:val="0"/>
              <w:widowControl w:val="0"/>
              <w:tabs>
                <w:tab w:val="left" w:pos="4481"/>
              </w:tabs>
              <w:kinsoku/>
              <w:wordWrap/>
              <w:overflowPunct/>
              <w:topLinePunct w:val="0"/>
              <w:autoSpaceDE/>
              <w:autoSpaceDN/>
              <w:bidi w:val="0"/>
              <w:adjustRightInd/>
              <w:snapToGrid/>
              <w:spacing w:line="280" w:lineRule="exact"/>
              <w:textAlignment w:val="auto"/>
              <w:outlineLvl w:val="9"/>
              <w:rPr>
                <w:rFonts w:hint="eastAsia" w:ascii="仿宋_GB2312" w:eastAsia="仿宋_GB2312"/>
                <w:color w:val="auto"/>
                <w:sz w:val="24"/>
              </w:rPr>
            </w:pPr>
            <w:r>
              <w:rPr>
                <w:rFonts w:hint="eastAsia" w:ascii="仿宋_GB2312" w:eastAsia="仿宋_GB2312"/>
                <w:color w:val="auto"/>
                <w:sz w:val="24"/>
              </w:rPr>
              <w:t>【</w:t>
            </w:r>
            <w:r>
              <w:rPr>
                <w:rFonts w:hint="eastAsia" w:ascii="黑体" w:eastAsia="黑体"/>
                <w:color w:val="auto"/>
                <w:sz w:val="24"/>
              </w:rPr>
              <w:t>案件基本情况】</w:t>
            </w:r>
            <w:r>
              <w:rPr>
                <w:rFonts w:hint="eastAsia" w:ascii="仿宋_GB2312" w:eastAsia="仿宋_GB2312"/>
                <w:color w:val="auto"/>
                <w:sz w:val="24"/>
              </w:rPr>
              <w:t>：2018年5月15日9时43分，位于坪地街道怡心社区吉祥2路4号白石塘工业区内深圳市连丰玻璃有限公司门前发生一起物体打击伤害事故，造成1人死亡。睢县荣源运输有限公司工人雷</w:t>
            </w:r>
            <w:r>
              <w:rPr>
                <w:rFonts w:hint="eastAsia" w:ascii="仿宋_GB2312" w:eastAsia="仿宋_GB2312"/>
                <w:color w:val="auto"/>
                <w:sz w:val="24"/>
                <w:lang w:eastAsia="zh-CN"/>
              </w:rPr>
              <w:t>某</w:t>
            </w:r>
            <w:r>
              <w:rPr>
                <w:rFonts w:hint="eastAsia" w:ascii="仿宋_GB2312" w:eastAsia="仿宋_GB2312"/>
                <w:color w:val="auto"/>
                <w:sz w:val="24"/>
              </w:rPr>
              <w:t>驾驶火车运送玻璃到深圳市连丰玻璃有限公司后，在回收卸货铁架过程中不慎被铁架压倒，经120到场抢救无效死亡。经调查，1、睢县荣源运输有限公司未按要求落实企业安全生产主体责任，安全管理不到位，安全教育培训不到位，日常安全隐患排查不到位，作业现场安全管理不到位，安全操作规程不完善，对事故负管理责任。2、荣发明，作为睢县荣源运输有限公司东莞办事处负责人，未认真履行自身安全管理职责，安全管理不到位，对事故发生负领导责任。主要证据有：询问笔录和现场照片等。</w:t>
            </w:r>
          </w:p>
          <w:p>
            <w:pPr>
              <w:pStyle w:val="2"/>
              <w:ind w:left="0" w:leftChars="0" w:firstLine="0" w:firstLineChars="0"/>
              <w:rPr>
                <w:rFonts w:hint="eastAsia"/>
                <w:color w:val="auto"/>
              </w:rPr>
            </w:pPr>
          </w:p>
          <w:p>
            <w:pPr>
              <w:keepNext w:val="0"/>
              <w:keepLines w:val="0"/>
              <w:pageBreakBefore w:val="0"/>
              <w:widowControl w:val="0"/>
              <w:tabs>
                <w:tab w:val="left" w:pos="4481"/>
              </w:tabs>
              <w:kinsoku/>
              <w:wordWrap/>
              <w:overflowPunct/>
              <w:topLinePunct w:val="0"/>
              <w:autoSpaceDE/>
              <w:autoSpaceDN/>
              <w:bidi w:val="0"/>
              <w:adjustRightInd/>
              <w:snapToGrid/>
              <w:spacing w:line="280" w:lineRule="exact"/>
              <w:textAlignment w:val="auto"/>
              <w:outlineLvl w:val="9"/>
              <w:rPr>
                <w:rFonts w:hint="eastAsia" w:ascii="黑体" w:eastAsia="黑体"/>
                <w:color w:val="auto"/>
                <w:sz w:val="24"/>
              </w:rPr>
            </w:pPr>
            <w:r>
              <w:rPr>
                <w:rFonts w:hint="eastAsia" w:ascii="黑体" w:eastAsia="黑体"/>
                <w:color w:val="auto"/>
                <w:sz w:val="24"/>
              </w:rPr>
              <w:t>【</w:t>
            </w:r>
            <w:r>
              <w:rPr>
                <w:rFonts w:hint="eastAsia" w:ascii="黑体" w:eastAsia="黑体"/>
                <w:color w:val="auto"/>
                <w:sz w:val="24"/>
                <w:lang w:val="en-US" w:eastAsia="zh-CN"/>
              </w:rPr>
              <w:t>事故科</w:t>
            </w:r>
            <w:r>
              <w:rPr>
                <w:rFonts w:hint="eastAsia" w:ascii="黑体" w:eastAsia="黑体"/>
                <w:color w:val="auto"/>
                <w:sz w:val="24"/>
              </w:rPr>
              <w:t>意见】</w:t>
            </w:r>
            <w:r>
              <w:rPr>
                <w:rFonts w:hint="eastAsia" w:ascii="仿宋_GB2312" w:eastAsia="仿宋_GB2312"/>
                <w:color w:val="auto"/>
                <w:sz w:val="24"/>
              </w:rPr>
              <w:t>：</w:t>
            </w:r>
            <w:r>
              <w:rPr>
                <w:rFonts w:hint="eastAsia" w:ascii="仿宋_GB2312" w:eastAsia="仿宋_GB2312"/>
                <w:color w:val="auto"/>
                <w:sz w:val="24"/>
                <w:lang w:val="en-US" w:eastAsia="zh-CN"/>
              </w:rPr>
              <w:t>1、睢县荣源运输有限公司违反了《中华人民共和国安全生产法》第二十二条第一、二项的规定，建议依据《中华人民共和国安全生产法》第一百零九条第一项及参照《深圳市安全生产行政处罚裁量权实施标准》（2017版）违法编号为2015的规定，对睢县荣源运输有限公司处以罚款贰拾贰万元的行政处罚。2、睢县荣源运输有限公司东莞办事处负责人荣某违反了《中华人民共和国安全生产法》第十八条第五项的规定，建议依据《中华人民共和国安全生产法》第九十二条第一项及参照《深圳市安全生产行政处罚裁量权实施标准》（2017版）违法编号为2001的规定，对荣某处上一年年收入伍万肆仟元百分之三十的罚款壹万陆仟贰佰元的行政处罚。</w:t>
            </w:r>
          </w:p>
        </w:tc>
        <w:tc>
          <w:tcPr>
            <w:tcW w:w="5953" w:type="dxa"/>
            <w:vAlign w:val="center"/>
          </w:tcPr>
          <w:p>
            <w:pPr>
              <w:keepNext w:val="0"/>
              <w:keepLines w:val="0"/>
              <w:pageBreakBefore w:val="0"/>
              <w:widowControl w:val="0"/>
              <w:kinsoku/>
              <w:wordWrap/>
              <w:overflowPunct/>
              <w:topLinePunct w:val="0"/>
              <w:autoSpaceDE/>
              <w:autoSpaceDN/>
              <w:bidi w:val="0"/>
              <w:adjustRightInd/>
              <w:snapToGrid/>
              <w:spacing w:line="300" w:lineRule="atLeast"/>
              <w:ind w:firstLine="240" w:firstLineChars="100"/>
              <w:textAlignment w:val="auto"/>
              <w:outlineLvl w:val="9"/>
              <w:rPr>
                <w:rFonts w:hint="eastAsia" w:ascii="仿宋_GB2312" w:hAnsi="仿宋_GB2312" w:eastAsia="仿宋_GB2312" w:cs="仿宋_GB2312"/>
                <w:bCs/>
                <w:color w:val="auto"/>
                <w:sz w:val="24"/>
                <w:lang w:bidi="ar"/>
              </w:rPr>
            </w:pPr>
            <w:r>
              <w:rPr>
                <w:rFonts w:hint="eastAsia" w:ascii="仿宋_GB2312" w:hAnsi="仿宋_GB2312" w:eastAsia="仿宋_GB2312" w:cs="仿宋_GB2312"/>
                <w:bCs/>
                <w:color w:val="auto"/>
                <w:sz w:val="24"/>
                <w:lang w:eastAsia="zh-CN" w:bidi="ar"/>
              </w:rPr>
              <w:t>《</w:t>
            </w:r>
            <w:r>
              <w:rPr>
                <w:rFonts w:hint="eastAsia" w:ascii="仿宋_GB2312" w:hAnsi="仿宋_GB2312" w:eastAsia="仿宋_GB2312" w:cs="仿宋_GB2312"/>
                <w:bCs/>
                <w:color w:val="auto"/>
                <w:sz w:val="24"/>
                <w:lang w:bidi="ar"/>
              </w:rPr>
              <w:t>深圳市安全生产行政处罚自由裁量权实施标准（2017版）》违法编号2015，事故发生单位对事故发生负有责任的</w:t>
            </w:r>
          </w:p>
          <w:p>
            <w:pPr>
              <w:keepNext w:val="0"/>
              <w:keepLines w:val="0"/>
              <w:pageBreakBefore w:val="0"/>
              <w:widowControl w:val="0"/>
              <w:kinsoku/>
              <w:wordWrap/>
              <w:overflowPunct/>
              <w:topLinePunct w:val="0"/>
              <w:autoSpaceDE/>
              <w:autoSpaceDN/>
              <w:bidi w:val="0"/>
              <w:adjustRightInd/>
              <w:snapToGrid/>
              <w:spacing w:line="300" w:lineRule="atLeast"/>
              <w:ind w:firstLine="480" w:firstLineChars="200"/>
              <w:textAlignment w:val="auto"/>
              <w:outlineLvl w:val="9"/>
              <w:rPr>
                <w:rFonts w:hint="eastAsia" w:ascii="仿宋_GB2312" w:hAnsi="仿宋_GB2312" w:eastAsia="仿宋_GB2312" w:cs="仿宋_GB2312"/>
                <w:color w:val="auto"/>
                <w:sz w:val="24"/>
                <w:shd w:val="clear" w:color="auto" w:fill="FFFFFF"/>
              </w:rPr>
            </w:pPr>
            <w:r>
              <w:rPr>
                <w:rFonts w:hint="eastAsia" w:ascii="仿宋_GB2312" w:hAnsi="仿宋_GB2312" w:eastAsia="仿宋_GB2312" w:cs="仿宋_GB2312"/>
                <w:color w:val="auto"/>
                <w:sz w:val="24"/>
                <w:shd w:val="clear" w:color="auto" w:fill="FFFFFF"/>
              </w:rPr>
              <w:t>◆事故发生单位对一般事故负有责任的，按以下标准处以罚款：</w:t>
            </w:r>
          </w:p>
          <w:p>
            <w:pPr>
              <w:keepNext w:val="0"/>
              <w:keepLines w:val="0"/>
              <w:pageBreakBefore w:val="0"/>
              <w:widowControl w:val="0"/>
              <w:kinsoku/>
              <w:wordWrap/>
              <w:overflowPunct/>
              <w:topLinePunct w:val="0"/>
              <w:autoSpaceDE/>
              <w:autoSpaceDN/>
              <w:bidi w:val="0"/>
              <w:adjustRightInd/>
              <w:snapToGrid/>
              <w:spacing w:line="300" w:lineRule="atLeast"/>
              <w:textAlignment w:val="auto"/>
              <w:outlineLvl w:val="9"/>
              <w:rPr>
                <w:rFonts w:hint="eastAsia" w:ascii="仿宋_GB2312" w:hAnsi="仿宋_GB2312" w:eastAsia="仿宋_GB2312" w:cs="仿宋_GB2312"/>
                <w:color w:val="auto"/>
                <w:sz w:val="24"/>
                <w:shd w:val="clear" w:color="auto" w:fill="FFFFFF"/>
              </w:rPr>
            </w:pPr>
            <w:r>
              <w:rPr>
                <w:rFonts w:hint="eastAsia" w:ascii="仿宋_GB2312" w:hAnsi="仿宋_GB2312" w:eastAsia="仿宋_GB2312" w:cs="仿宋_GB2312"/>
                <w:color w:val="auto"/>
                <w:sz w:val="24"/>
                <w:shd w:val="clear" w:color="auto" w:fill="FFFFFF"/>
              </w:rPr>
              <w:t>（1）死亡1人或重伤3-5人或造成经济损失300万元以上600万元以下的，罚款22万元；</w:t>
            </w:r>
          </w:p>
          <w:p>
            <w:pPr>
              <w:keepNext w:val="0"/>
              <w:keepLines w:val="0"/>
              <w:pageBreakBefore w:val="0"/>
              <w:widowControl w:val="0"/>
              <w:kinsoku/>
              <w:wordWrap/>
              <w:overflowPunct/>
              <w:topLinePunct w:val="0"/>
              <w:autoSpaceDE/>
              <w:autoSpaceDN/>
              <w:bidi w:val="0"/>
              <w:adjustRightInd/>
              <w:snapToGrid/>
              <w:spacing w:line="300" w:lineRule="atLeast"/>
              <w:textAlignment w:val="auto"/>
              <w:outlineLvl w:val="9"/>
              <w:rPr>
                <w:rFonts w:hint="eastAsia" w:ascii="仿宋_GB2312" w:hAnsi="仿宋_GB2312" w:eastAsia="仿宋_GB2312" w:cs="仿宋_GB2312"/>
                <w:color w:val="auto"/>
                <w:sz w:val="24"/>
                <w:shd w:val="clear" w:color="auto" w:fill="FFFFFF"/>
              </w:rPr>
            </w:pPr>
            <w:r>
              <w:rPr>
                <w:rFonts w:hint="eastAsia" w:ascii="仿宋_GB2312" w:hAnsi="仿宋_GB2312" w:eastAsia="仿宋_GB2312" w:cs="仿宋_GB2312"/>
                <w:color w:val="auto"/>
                <w:sz w:val="24"/>
                <w:shd w:val="clear" w:color="auto" w:fill="FFFFFF"/>
              </w:rPr>
              <w:t>（2）死亡2人或重伤6-9人或造成经济损失600万元以上1000万元以下的，罚款30万元；</w:t>
            </w:r>
          </w:p>
          <w:p>
            <w:pPr>
              <w:keepNext w:val="0"/>
              <w:keepLines w:val="0"/>
              <w:pageBreakBefore w:val="0"/>
              <w:widowControl w:val="0"/>
              <w:kinsoku/>
              <w:wordWrap/>
              <w:overflowPunct/>
              <w:topLinePunct w:val="0"/>
              <w:autoSpaceDE/>
              <w:autoSpaceDN/>
              <w:bidi w:val="0"/>
              <w:adjustRightInd/>
              <w:snapToGrid/>
              <w:spacing w:line="300" w:lineRule="atLeast"/>
              <w:textAlignment w:val="auto"/>
              <w:outlineLvl w:val="9"/>
              <w:rPr>
                <w:rFonts w:hint="eastAsia" w:ascii="仿宋_GB2312" w:hAnsi="仿宋_GB2312" w:eastAsia="仿宋_GB2312" w:cs="仿宋_GB2312"/>
                <w:color w:val="auto"/>
                <w:sz w:val="24"/>
                <w:shd w:val="clear" w:color="auto" w:fill="FFFFFF"/>
              </w:rPr>
            </w:pPr>
            <w:r>
              <w:rPr>
                <w:rFonts w:hint="eastAsia" w:ascii="仿宋_GB2312" w:hAnsi="仿宋_GB2312" w:eastAsia="仿宋_GB2312" w:cs="仿宋_GB2312"/>
                <w:color w:val="auto"/>
                <w:sz w:val="24"/>
                <w:shd w:val="clear" w:color="auto" w:fill="FFFFFF"/>
              </w:rPr>
              <w:t>（3）造成1人或2人死亡，同时造成1人以上10人以下重伤的，每增加1人重伤，增加罚款5万元，罚款最高按49.5万元执行；</w:t>
            </w:r>
          </w:p>
          <w:p>
            <w:pPr>
              <w:keepNext w:val="0"/>
              <w:keepLines w:val="0"/>
              <w:pageBreakBefore w:val="0"/>
              <w:widowControl w:val="0"/>
              <w:kinsoku/>
              <w:wordWrap/>
              <w:overflowPunct/>
              <w:topLinePunct w:val="0"/>
              <w:autoSpaceDE/>
              <w:autoSpaceDN/>
              <w:bidi w:val="0"/>
              <w:adjustRightInd/>
              <w:snapToGrid/>
              <w:spacing w:line="300" w:lineRule="atLeast"/>
              <w:ind w:firstLine="240" w:firstLineChars="100"/>
              <w:textAlignment w:val="auto"/>
              <w:outlineLvl w:val="9"/>
              <w:rPr>
                <w:rFonts w:hint="eastAsia" w:ascii="仿宋_GB2312" w:hAnsi="仿宋_GB2312" w:eastAsia="仿宋_GB2312" w:cs="仿宋_GB2312"/>
                <w:bCs/>
                <w:color w:val="auto"/>
                <w:sz w:val="24"/>
                <w:lang w:bidi="ar"/>
              </w:rPr>
            </w:pPr>
            <w:r>
              <w:rPr>
                <w:rFonts w:hint="eastAsia" w:ascii="仿宋_GB2312" w:hAnsi="仿宋_GB2312" w:eastAsia="仿宋_GB2312" w:cs="仿宋_GB2312"/>
                <w:bCs/>
                <w:color w:val="auto"/>
                <w:sz w:val="24"/>
                <w:lang w:eastAsia="zh-CN" w:bidi="ar"/>
              </w:rPr>
              <w:t>《</w:t>
            </w:r>
            <w:r>
              <w:rPr>
                <w:rFonts w:hint="eastAsia" w:ascii="仿宋_GB2312" w:hAnsi="仿宋_GB2312" w:eastAsia="仿宋_GB2312" w:cs="仿宋_GB2312"/>
                <w:bCs/>
                <w:color w:val="auto"/>
                <w:sz w:val="24"/>
                <w:lang w:bidi="ar"/>
              </w:rPr>
              <w:t>深圳市安全生产行政处罚自由裁量权实施标准（2017版）》违法编号</w:t>
            </w:r>
            <w:r>
              <w:rPr>
                <w:rFonts w:hint="eastAsia" w:ascii="仿宋_GB2312" w:hAnsi="仿宋_GB2312" w:eastAsia="仿宋_GB2312" w:cs="仿宋_GB2312"/>
                <w:bCs/>
                <w:color w:val="auto"/>
                <w:sz w:val="24"/>
                <w:lang w:val="en-US" w:eastAsia="zh-CN" w:bidi="ar"/>
              </w:rPr>
              <w:t>2001</w:t>
            </w:r>
            <w:r>
              <w:rPr>
                <w:rFonts w:hint="eastAsia" w:ascii="仿宋_GB2312" w:hAnsi="仿宋_GB2312" w:eastAsia="仿宋_GB2312" w:cs="仿宋_GB2312"/>
                <w:bCs/>
                <w:color w:val="auto"/>
                <w:sz w:val="24"/>
                <w:lang w:bidi="ar"/>
              </w:rPr>
              <w:t>，</w:t>
            </w:r>
            <w:r>
              <w:rPr>
                <w:rFonts w:hint="eastAsia" w:ascii="仿宋_GB2312" w:hAnsi="仿宋_GB2312" w:eastAsia="仿宋_GB2312" w:cs="仿宋_GB2312"/>
                <w:color w:val="auto"/>
                <w:sz w:val="24"/>
              </w:rPr>
              <w:t>因生产经营单位的主要负责人未履行《安全生产法》规定的安全生产管理职责而导致事故发生的</w:t>
            </w:r>
          </w:p>
          <w:p>
            <w:pPr>
              <w:keepNext w:val="0"/>
              <w:keepLines w:val="0"/>
              <w:pageBreakBefore w:val="0"/>
              <w:widowControl w:val="0"/>
              <w:kinsoku/>
              <w:wordWrap/>
              <w:overflowPunct/>
              <w:topLinePunct w:val="0"/>
              <w:autoSpaceDE/>
              <w:autoSpaceDN/>
              <w:bidi w:val="0"/>
              <w:adjustRightInd/>
              <w:snapToGrid/>
              <w:spacing w:line="300" w:lineRule="atLeast"/>
              <w:ind w:firstLine="480" w:firstLineChars="200"/>
              <w:textAlignment w:val="auto"/>
              <w:rPr>
                <w:rFonts w:hint="eastAsia" w:ascii="仿宋_GB2312" w:hAnsi="仿宋_GB2312" w:eastAsia="仿宋_GB2312" w:cs="仿宋_GB2312"/>
                <w:color w:val="auto"/>
                <w:sz w:val="24"/>
                <w:shd w:val="clear" w:color="auto" w:fill="FFFFFF"/>
              </w:rPr>
            </w:pPr>
            <w:r>
              <w:rPr>
                <w:rFonts w:hint="eastAsia" w:ascii="仿宋_GB2312" w:hAnsi="仿宋_GB2312" w:eastAsia="仿宋_GB2312" w:cs="仿宋_GB2312"/>
                <w:color w:val="auto"/>
                <w:sz w:val="24"/>
                <w:shd w:val="clear" w:color="auto" w:fill="FFFFFF"/>
              </w:rPr>
              <w:t>◆对生产经营单位的主要负责人依照以下规定处以罚款：</w:t>
            </w:r>
          </w:p>
          <w:p>
            <w:pPr>
              <w:keepNext w:val="0"/>
              <w:keepLines w:val="0"/>
              <w:pageBreakBefore w:val="0"/>
              <w:widowControl w:val="0"/>
              <w:kinsoku/>
              <w:wordWrap/>
              <w:overflowPunct/>
              <w:topLinePunct w:val="0"/>
              <w:autoSpaceDE/>
              <w:autoSpaceDN/>
              <w:bidi w:val="0"/>
              <w:adjustRightInd/>
              <w:snapToGrid/>
              <w:spacing w:line="300" w:lineRule="atLeast"/>
              <w:ind w:firstLine="480" w:firstLineChars="200"/>
              <w:textAlignment w:val="auto"/>
              <w:rPr>
                <w:rFonts w:hint="eastAsia" w:ascii="仿宋_GB2312" w:hAnsi="仿宋_GB2312" w:eastAsia="仿宋_GB2312" w:cs="仿宋_GB2312"/>
                <w:color w:val="auto"/>
                <w:sz w:val="24"/>
                <w:shd w:val="clear" w:color="auto" w:fill="FFFFFF"/>
              </w:rPr>
            </w:pPr>
            <w:r>
              <w:rPr>
                <w:rFonts w:hint="eastAsia" w:ascii="仿宋_GB2312" w:hAnsi="仿宋_GB2312" w:eastAsia="仿宋_GB2312" w:cs="仿宋_GB2312"/>
                <w:color w:val="auto"/>
                <w:sz w:val="24"/>
                <w:shd w:val="clear" w:color="auto" w:fill="FFFFFF"/>
              </w:rPr>
              <w:t>（一）发生一般事故的，处上一年年收入百分之三十的罚款。</w:t>
            </w:r>
          </w:p>
          <w:p>
            <w:pPr>
              <w:keepNext w:val="0"/>
              <w:keepLines w:val="0"/>
              <w:pageBreakBefore w:val="0"/>
              <w:widowControl w:val="0"/>
              <w:kinsoku/>
              <w:wordWrap/>
              <w:overflowPunct/>
              <w:topLinePunct w:val="0"/>
              <w:autoSpaceDE/>
              <w:autoSpaceDN/>
              <w:bidi w:val="0"/>
              <w:adjustRightInd/>
              <w:snapToGrid/>
              <w:spacing w:line="300" w:lineRule="atLeast"/>
              <w:ind w:firstLine="480" w:firstLineChars="200"/>
              <w:textAlignment w:val="auto"/>
              <w:rPr>
                <w:rFonts w:hint="eastAsia" w:ascii="仿宋_GB2312" w:hAnsi="仿宋_GB2312" w:eastAsia="仿宋_GB2312" w:cs="仿宋_GB2312"/>
                <w:color w:val="auto"/>
                <w:sz w:val="24"/>
                <w:shd w:val="clear" w:color="auto" w:fill="FFFFFF"/>
              </w:rPr>
            </w:pPr>
            <w:r>
              <w:rPr>
                <w:rFonts w:hint="eastAsia" w:ascii="仿宋_GB2312" w:hAnsi="仿宋_GB2312" w:eastAsia="仿宋_GB2312" w:cs="仿宋_GB2312"/>
                <w:color w:val="auto"/>
                <w:sz w:val="24"/>
                <w:shd w:val="clear" w:color="auto" w:fill="FFFFFF"/>
              </w:rPr>
              <w:t xml:space="preserve">（二）发生较大事故的，处上一年年收入百分之四十的罚款； </w:t>
            </w:r>
          </w:p>
          <w:p>
            <w:pPr>
              <w:keepNext w:val="0"/>
              <w:keepLines w:val="0"/>
              <w:pageBreakBefore w:val="0"/>
              <w:widowControl w:val="0"/>
              <w:kinsoku/>
              <w:wordWrap/>
              <w:overflowPunct/>
              <w:topLinePunct w:val="0"/>
              <w:autoSpaceDE/>
              <w:autoSpaceDN/>
              <w:bidi w:val="0"/>
              <w:adjustRightInd/>
              <w:snapToGrid/>
              <w:spacing w:line="300" w:lineRule="atLeast"/>
              <w:ind w:firstLine="480" w:firstLineChars="200"/>
              <w:textAlignment w:val="auto"/>
              <w:rPr>
                <w:rFonts w:hint="eastAsia" w:ascii="仿宋_GB2312" w:hAnsi="仿宋_GB2312" w:eastAsia="仿宋_GB2312" w:cs="仿宋_GB2312"/>
                <w:color w:val="auto"/>
                <w:sz w:val="24"/>
                <w:shd w:val="clear" w:color="auto" w:fill="FFFFFF"/>
              </w:rPr>
            </w:pPr>
            <w:r>
              <w:rPr>
                <w:rFonts w:hint="eastAsia" w:ascii="仿宋_GB2312" w:hAnsi="仿宋_GB2312" w:eastAsia="仿宋_GB2312" w:cs="仿宋_GB2312"/>
                <w:color w:val="auto"/>
                <w:sz w:val="24"/>
                <w:shd w:val="clear" w:color="auto" w:fill="FFFFFF"/>
              </w:rPr>
              <w:t xml:space="preserve">（三）发生重大事故的，处上一年年收入百分之六十的罚款； </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auto"/>
                <w:sz w:val="24"/>
                <w:shd w:val="clear" w:color="auto" w:fill="FFFFFF"/>
              </w:rPr>
            </w:pPr>
            <w:r>
              <w:rPr>
                <w:rFonts w:hint="eastAsia" w:ascii="仿宋_GB2312" w:hAnsi="仿宋_GB2312" w:eastAsia="仿宋_GB2312" w:cs="仿宋_GB2312"/>
                <w:color w:val="auto"/>
                <w:sz w:val="24"/>
                <w:shd w:val="clear" w:color="auto" w:fill="FFFFFF"/>
              </w:rPr>
              <w:t>（四）发生特别重大事故的，处上一年年收入百分之八十的罚款。</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D76D81"/>
    <w:rsid w:val="0D9426F3"/>
    <w:rsid w:val="3BED3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陈文彬</cp:lastModifiedBy>
  <dcterms:modified xsi:type="dcterms:W3CDTF">2018-09-03T06:42:20Z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